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87D" w:rsidRPr="00E82DB8" w:rsidRDefault="00AC387D" w:rsidP="00E82DB8">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E82DB8">
        <w:rPr>
          <w:rFonts w:ascii="Arial" w:eastAsia="Times New Roman" w:hAnsi="Arial" w:cs="Arial"/>
          <w:b/>
          <w:bCs/>
          <w:kern w:val="36"/>
          <w:sz w:val="24"/>
          <w:szCs w:val="24"/>
          <w:lang w:eastAsia="es-ES"/>
        </w:rPr>
        <w:t xml:space="preserve">Chiitas y sunitas: grietas y guerras en el siglo XXI </w:t>
      </w:r>
    </w:p>
    <w:p w:rsidR="00AC387D" w:rsidRPr="00036762" w:rsidRDefault="0089566D" w:rsidP="00E82DB8">
      <w:pPr>
        <w:spacing w:before="100" w:beforeAutospacing="1" w:after="100" w:afterAutospacing="1" w:line="240" w:lineRule="auto"/>
        <w:jc w:val="both"/>
        <w:outlineLvl w:val="0"/>
        <w:rPr>
          <w:rFonts w:ascii="Arial" w:eastAsia="Times New Roman" w:hAnsi="Arial" w:cs="Arial"/>
          <w:bCs/>
          <w:kern w:val="36"/>
          <w:sz w:val="24"/>
          <w:szCs w:val="24"/>
          <w:lang w:eastAsia="es-ES"/>
        </w:rPr>
      </w:pPr>
      <w:hyperlink r:id="rId5" w:tooltip="Khatchik DerGhoughassian" w:history="1">
        <w:proofErr w:type="spellStart"/>
        <w:r w:rsidR="00AC387D" w:rsidRPr="00036762">
          <w:rPr>
            <w:rFonts w:ascii="Arial" w:eastAsia="Times New Roman" w:hAnsi="Arial" w:cs="Arial"/>
            <w:bCs/>
            <w:kern w:val="36"/>
            <w:sz w:val="24"/>
            <w:szCs w:val="24"/>
            <w:lang w:eastAsia="es-ES"/>
          </w:rPr>
          <w:t>Khatchik</w:t>
        </w:r>
        <w:proofErr w:type="spellEnd"/>
        <w:r w:rsidR="00AC387D" w:rsidRPr="00036762">
          <w:rPr>
            <w:rFonts w:ascii="Arial" w:eastAsia="Times New Roman" w:hAnsi="Arial" w:cs="Arial"/>
            <w:bCs/>
            <w:kern w:val="36"/>
            <w:sz w:val="24"/>
            <w:szCs w:val="24"/>
            <w:lang w:eastAsia="es-ES"/>
          </w:rPr>
          <w:t xml:space="preserve"> </w:t>
        </w:r>
        <w:proofErr w:type="spellStart"/>
        <w:r w:rsidR="00AC387D" w:rsidRPr="00036762">
          <w:rPr>
            <w:rFonts w:ascii="Arial" w:eastAsia="Times New Roman" w:hAnsi="Arial" w:cs="Arial"/>
            <w:bCs/>
            <w:kern w:val="36"/>
            <w:sz w:val="24"/>
            <w:szCs w:val="24"/>
            <w:lang w:eastAsia="es-ES"/>
          </w:rPr>
          <w:t>DerGhoughassian</w:t>
        </w:r>
        <w:proofErr w:type="spellEnd"/>
        <w:r w:rsidR="00AC387D" w:rsidRPr="00036762">
          <w:rPr>
            <w:rFonts w:ascii="Arial" w:eastAsia="Times New Roman" w:hAnsi="Arial" w:cs="Arial"/>
            <w:bCs/>
            <w:kern w:val="36"/>
            <w:sz w:val="24"/>
            <w:szCs w:val="24"/>
            <w:lang w:eastAsia="es-ES"/>
          </w:rPr>
          <w:t xml:space="preserve"> </w:t>
        </w:r>
      </w:hyperlink>
    </w:p>
    <w:p w:rsidR="00AC387D" w:rsidRPr="00036762" w:rsidRDefault="00AC387D" w:rsidP="00036762">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Desde 1979, el conflicto de Oriente Medio evolucionó hacia una guerra </w:t>
      </w:r>
      <w:proofErr w:type="spellStart"/>
      <w:r w:rsidRPr="00036762">
        <w:rPr>
          <w:rFonts w:ascii="Arial" w:eastAsia="Times New Roman" w:hAnsi="Arial" w:cs="Arial"/>
          <w:sz w:val="24"/>
          <w:szCs w:val="24"/>
          <w:lang w:eastAsia="es-ES"/>
        </w:rPr>
        <w:t>intraislámica</w:t>
      </w:r>
      <w:proofErr w:type="spellEnd"/>
      <w:r w:rsidRPr="00036762">
        <w:rPr>
          <w:rFonts w:ascii="Arial" w:eastAsia="Times New Roman" w:hAnsi="Arial" w:cs="Arial"/>
          <w:sz w:val="24"/>
          <w:szCs w:val="24"/>
          <w:lang w:eastAsia="es-ES"/>
        </w:rPr>
        <w:t xml:space="preserve"> entre chiitas y sunnitas, cuyo epicentro se encuentra en Iraq y Siria y cuyo alcance llega hasta la Península Arábiga, el norte de África y el continente indio. Esta guerra constituye una fuerza profunda de carácter religioso que define la dinámica conflictiva de una región donde las intervenciones y alianzas estatales enfrentan dilemas persistentes, que impiden la estabilización de la situación en un balance de poder a lo largo de lí</w:t>
      </w:r>
      <w:r w:rsidR="00036762" w:rsidRPr="00036762">
        <w:rPr>
          <w:rFonts w:ascii="Arial" w:eastAsia="Times New Roman" w:hAnsi="Arial" w:cs="Arial"/>
          <w:sz w:val="24"/>
          <w:szCs w:val="24"/>
          <w:lang w:eastAsia="es-ES"/>
        </w:rPr>
        <w:t>neas de demarcación geopolítica</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Siguiendo a </w:t>
      </w:r>
      <w:proofErr w:type="spellStart"/>
      <w:r w:rsidRPr="00036762">
        <w:rPr>
          <w:rFonts w:ascii="Arial" w:eastAsia="Times New Roman" w:hAnsi="Arial" w:cs="Arial"/>
          <w:sz w:val="24"/>
          <w:szCs w:val="24"/>
          <w:lang w:eastAsia="es-ES"/>
        </w:rPr>
        <w:t>Renouvin</w:t>
      </w:r>
      <w:proofErr w:type="spellEnd"/>
      <w:r w:rsidRPr="00036762">
        <w:rPr>
          <w:rFonts w:ascii="Arial" w:eastAsia="Times New Roman" w:hAnsi="Arial" w:cs="Arial"/>
          <w:sz w:val="24"/>
          <w:szCs w:val="24"/>
          <w:lang w:eastAsia="es-ES"/>
        </w:rPr>
        <w:t xml:space="preserve"> y </w:t>
      </w:r>
      <w:proofErr w:type="spellStart"/>
      <w:r w:rsidRPr="00036762">
        <w:rPr>
          <w:rFonts w:ascii="Arial" w:eastAsia="Times New Roman" w:hAnsi="Arial" w:cs="Arial"/>
          <w:sz w:val="24"/>
          <w:szCs w:val="24"/>
          <w:lang w:eastAsia="es-ES"/>
        </w:rPr>
        <w:t>Duroselle</w:t>
      </w:r>
      <w:proofErr w:type="spellEnd"/>
      <w:r w:rsidRPr="00036762">
        <w:rPr>
          <w:rFonts w:ascii="Arial" w:eastAsia="Times New Roman" w:hAnsi="Arial" w:cs="Arial"/>
          <w:sz w:val="24"/>
          <w:szCs w:val="24"/>
          <w:lang w:eastAsia="es-ES"/>
        </w:rPr>
        <w:t xml:space="preserve">, el argumento central de este artículo define la fractura </w:t>
      </w:r>
      <w:proofErr w:type="spellStart"/>
      <w:r w:rsidRPr="00036762">
        <w:rPr>
          <w:rFonts w:ascii="Arial" w:eastAsia="Times New Roman" w:hAnsi="Arial" w:cs="Arial"/>
          <w:sz w:val="24"/>
          <w:szCs w:val="24"/>
          <w:lang w:eastAsia="es-ES"/>
        </w:rPr>
        <w:t>intraislámica</w:t>
      </w:r>
      <w:proofErr w:type="spellEnd"/>
      <w:r w:rsidRPr="00036762">
        <w:rPr>
          <w:rFonts w:ascii="Arial" w:eastAsia="Times New Roman" w:hAnsi="Arial" w:cs="Arial"/>
          <w:sz w:val="24"/>
          <w:szCs w:val="24"/>
          <w:lang w:eastAsia="es-ES"/>
        </w:rPr>
        <w:t xml:space="preserve"> sunnita-chiita como la fuerza profunda histórica más importante que define no solo la coyuntura actual de la dinámica conflictiva de Oriente Medio, sino probablemente la nueva geopolítica de la región. Se entiende que como «fuerza espiritual» o «mentalidad colectiva», la fractura sunnita-chiita no responde a la relevancia del sentimiento nacionalista que priorizaron </w:t>
      </w:r>
      <w:proofErr w:type="spellStart"/>
      <w:r w:rsidRPr="00036762">
        <w:rPr>
          <w:rFonts w:ascii="Arial" w:eastAsia="Times New Roman" w:hAnsi="Arial" w:cs="Arial"/>
          <w:sz w:val="24"/>
          <w:szCs w:val="24"/>
          <w:lang w:eastAsia="es-ES"/>
        </w:rPr>
        <w:t>Renouvin</w:t>
      </w:r>
      <w:proofErr w:type="spellEnd"/>
      <w:r w:rsidRPr="00036762">
        <w:rPr>
          <w:rFonts w:ascii="Arial" w:eastAsia="Times New Roman" w:hAnsi="Arial" w:cs="Arial"/>
          <w:sz w:val="24"/>
          <w:szCs w:val="24"/>
          <w:lang w:eastAsia="es-ES"/>
        </w:rPr>
        <w:t xml:space="preserve"> y </w:t>
      </w:r>
      <w:proofErr w:type="spellStart"/>
      <w:r w:rsidRPr="00036762">
        <w:rPr>
          <w:rFonts w:ascii="Arial" w:eastAsia="Times New Roman" w:hAnsi="Arial" w:cs="Arial"/>
          <w:sz w:val="24"/>
          <w:szCs w:val="24"/>
          <w:lang w:eastAsia="es-ES"/>
        </w:rPr>
        <w:t>Duroselle</w:t>
      </w:r>
      <w:proofErr w:type="spellEnd"/>
      <w:r w:rsidRPr="00036762">
        <w:rPr>
          <w:rFonts w:ascii="Arial" w:eastAsia="Times New Roman" w:hAnsi="Arial" w:cs="Arial"/>
          <w:sz w:val="24"/>
          <w:szCs w:val="24"/>
          <w:lang w:eastAsia="es-ES"/>
        </w:rPr>
        <w:t xml:space="preserve">. Al contrario, es consecuencia de la islamización de la política en Oriente Medio luego del fracaso del nacionalismo árabe, en pleno auge desde la Segunda Guerra Mundial y, de acuerdo con la caracterización de </w:t>
      </w:r>
      <w:proofErr w:type="spellStart"/>
      <w:r w:rsidRPr="00036762">
        <w:rPr>
          <w:rFonts w:ascii="Arial" w:eastAsia="Times New Roman" w:hAnsi="Arial" w:cs="Arial"/>
          <w:sz w:val="24"/>
          <w:szCs w:val="24"/>
          <w:lang w:eastAsia="es-ES"/>
        </w:rPr>
        <w:t>Éric</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Rouleau</w:t>
      </w:r>
      <w:proofErr w:type="spellEnd"/>
      <w:r w:rsidRPr="00036762">
        <w:rPr>
          <w:rFonts w:ascii="Arial" w:eastAsia="Times New Roman" w:hAnsi="Arial" w:cs="Arial"/>
          <w:sz w:val="24"/>
          <w:szCs w:val="24"/>
          <w:lang w:eastAsia="es-ES"/>
        </w:rPr>
        <w:t xml:space="preserve">, el «fin de una época» sellada por la debacle de la Guerra de los Seis Días (1967), la muerte del referente del panarabismo, el líder egipcio </w:t>
      </w:r>
      <w:proofErr w:type="spellStart"/>
      <w:r w:rsidRPr="00036762">
        <w:rPr>
          <w:rFonts w:ascii="Arial" w:eastAsia="Times New Roman" w:hAnsi="Arial" w:cs="Arial"/>
          <w:sz w:val="24"/>
          <w:szCs w:val="24"/>
          <w:lang w:eastAsia="es-ES"/>
        </w:rPr>
        <w:t>Gamal</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Abdel</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Nasser</w:t>
      </w:r>
      <w:proofErr w:type="spellEnd"/>
      <w:r w:rsidRPr="00036762">
        <w:rPr>
          <w:rFonts w:ascii="Arial" w:eastAsia="Times New Roman" w:hAnsi="Arial" w:cs="Arial"/>
          <w:sz w:val="24"/>
          <w:szCs w:val="24"/>
          <w:lang w:eastAsia="es-ES"/>
        </w:rPr>
        <w:t xml:space="preserve"> (1970), y la expulsión de los guerrilleros palestinos de Jordania en 1970-1971.</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En este sentido, el factor religioso no es considerado aquí como un «factor residual» o «modo de expresión» de conflictos; más bien, es interpretado como un movilizador de masas que se distingue por su «alcance geográfico, fuentes normativas, los fines últimos percibidos por la religión». La fractura sunnita-chiita como fuerza profunda de naturaleza espiritual/religiosa, o como «mentalidad colectiva», responde a esta distinción que hace de la religión un factor de movilización que se diferencia de las ideologías seculares.</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Una fractura nacida con el islam…</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En su origen, la fractura se produce en un contexto de ausencia de cargo dinástico después de 632 de nuestra era, año de la muerte del Profeta, quien no tuvo un hijo varón que lo sucediera. La comunidad de los creyentes en plena expansión, la </w:t>
      </w:r>
      <w:proofErr w:type="spellStart"/>
      <w:r w:rsidRPr="00036762">
        <w:rPr>
          <w:rFonts w:ascii="Arial" w:eastAsia="Times New Roman" w:hAnsi="Arial" w:cs="Arial"/>
          <w:sz w:val="24"/>
          <w:szCs w:val="24"/>
          <w:lang w:eastAsia="es-ES"/>
        </w:rPr>
        <w:t>Umma</w:t>
      </w:r>
      <w:proofErr w:type="spellEnd"/>
      <w:r w:rsidRPr="00036762">
        <w:rPr>
          <w:rFonts w:ascii="Arial" w:eastAsia="Times New Roman" w:hAnsi="Arial" w:cs="Arial"/>
          <w:sz w:val="24"/>
          <w:szCs w:val="24"/>
          <w:lang w:eastAsia="es-ES"/>
        </w:rPr>
        <w:t>, que unificó las tribus árabes en torno del Mensaje de un Dios revelado por una línea de profetas que cerraba Él (</w:t>
      </w:r>
      <w:proofErr w:type="spellStart"/>
      <w:r w:rsidRPr="00036762">
        <w:rPr>
          <w:rFonts w:ascii="Arial" w:eastAsia="Times New Roman" w:hAnsi="Arial" w:cs="Arial"/>
          <w:sz w:val="24"/>
          <w:szCs w:val="24"/>
          <w:lang w:eastAsia="es-ES"/>
        </w:rPr>
        <w:t>Mohammad</w:t>
      </w:r>
      <w:proofErr w:type="spellEnd"/>
      <w:r w:rsidRPr="00036762">
        <w:rPr>
          <w:rFonts w:ascii="Arial" w:eastAsia="Times New Roman" w:hAnsi="Arial" w:cs="Arial"/>
          <w:sz w:val="24"/>
          <w:szCs w:val="24"/>
          <w:lang w:eastAsia="es-ES"/>
        </w:rPr>
        <w:t>), se encontró así en un vacío institucional, político y espiritual para administrar los problemas territoriales y de poder en las distintas provincias conquistadas; el Corán y la Sunna –«tradición» que incluye el conjunto de los dichos, hechos y comportamientos del Profeta– resultaron en efecto «inútiles cuando la palabra es cedida a las armas»</w:t>
      </w:r>
      <w:r w:rsidR="00BC11C6">
        <w:rPr>
          <w:rFonts w:ascii="Arial" w:hAnsi="Arial" w:cs="Arial"/>
          <w:sz w:val="24"/>
          <w:szCs w:val="24"/>
        </w:rPr>
        <w:t>.</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La disputa por la sucesión del Profeta y el liderazgo de la </w:t>
      </w:r>
      <w:proofErr w:type="spellStart"/>
      <w:r w:rsidRPr="00036762">
        <w:rPr>
          <w:rFonts w:ascii="Arial" w:eastAsia="Times New Roman" w:hAnsi="Arial" w:cs="Arial"/>
          <w:sz w:val="24"/>
          <w:szCs w:val="24"/>
          <w:lang w:eastAsia="es-ES"/>
        </w:rPr>
        <w:t>Umma</w:t>
      </w:r>
      <w:proofErr w:type="spellEnd"/>
      <w:r w:rsidRPr="00036762">
        <w:rPr>
          <w:rFonts w:ascii="Arial" w:eastAsia="Times New Roman" w:hAnsi="Arial" w:cs="Arial"/>
          <w:sz w:val="24"/>
          <w:szCs w:val="24"/>
          <w:lang w:eastAsia="es-ES"/>
        </w:rPr>
        <w:t xml:space="preserve"> generó una fisura entre quienes consideraban a su primo y yerno, </w:t>
      </w:r>
      <w:proofErr w:type="spellStart"/>
      <w:r w:rsidRPr="00036762">
        <w:rPr>
          <w:rFonts w:ascii="Arial" w:eastAsia="Times New Roman" w:hAnsi="Arial" w:cs="Arial"/>
          <w:sz w:val="24"/>
          <w:szCs w:val="24"/>
          <w:lang w:eastAsia="es-ES"/>
        </w:rPr>
        <w:t>Ali</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Ibn</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Abi</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Talib</w:t>
      </w:r>
      <w:proofErr w:type="spellEnd"/>
      <w:r w:rsidRPr="00036762">
        <w:rPr>
          <w:rFonts w:ascii="Arial" w:eastAsia="Times New Roman" w:hAnsi="Arial" w:cs="Arial"/>
          <w:sz w:val="24"/>
          <w:szCs w:val="24"/>
          <w:lang w:eastAsia="es-ES"/>
        </w:rPr>
        <w:t xml:space="preserve">, y a sus </w:t>
      </w:r>
      <w:r w:rsidRPr="00036762">
        <w:rPr>
          <w:rFonts w:ascii="Arial" w:eastAsia="Times New Roman" w:hAnsi="Arial" w:cs="Arial"/>
          <w:sz w:val="24"/>
          <w:szCs w:val="24"/>
          <w:lang w:eastAsia="es-ES"/>
        </w:rPr>
        <w:lastRenderedPageBreak/>
        <w:t xml:space="preserve">descendientes como los únicos legitimados para el cargo por ser de la Familia de la Casa, y quienes sostenían la necesidad de la deliberación para la designación del sucesor, el Califa, entre los compañeros fieles de </w:t>
      </w:r>
      <w:proofErr w:type="spellStart"/>
      <w:r w:rsidRPr="00036762">
        <w:rPr>
          <w:rFonts w:ascii="Arial" w:eastAsia="Times New Roman" w:hAnsi="Arial" w:cs="Arial"/>
          <w:sz w:val="24"/>
          <w:szCs w:val="24"/>
          <w:lang w:eastAsia="es-ES"/>
        </w:rPr>
        <w:t>Mohammad</w:t>
      </w:r>
      <w:proofErr w:type="spellEnd"/>
      <w:r w:rsidRPr="00036762">
        <w:rPr>
          <w:rFonts w:ascii="Arial" w:eastAsia="Times New Roman" w:hAnsi="Arial" w:cs="Arial"/>
          <w:sz w:val="24"/>
          <w:szCs w:val="24"/>
          <w:lang w:eastAsia="es-ES"/>
        </w:rPr>
        <w:t xml:space="preserve">. El desencuentro inicial se expresó en asesinatos, traiciones y enfrentamientos. En el último de ellos, la batalla de </w:t>
      </w:r>
      <w:proofErr w:type="spellStart"/>
      <w:r w:rsidRPr="00036762">
        <w:rPr>
          <w:rFonts w:ascii="Arial" w:eastAsia="Times New Roman" w:hAnsi="Arial" w:cs="Arial"/>
          <w:sz w:val="24"/>
          <w:szCs w:val="24"/>
          <w:lang w:eastAsia="es-ES"/>
        </w:rPr>
        <w:t>Karbala</w:t>
      </w:r>
      <w:proofErr w:type="spellEnd"/>
      <w:r w:rsidRPr="00036762">
        <w:rPr>
          <w:rFonts w:ascii="Arial" w:eastAsia="Times New Roman" w:hAnsi="Arial" w:cs="Arial"/>
          <w:sz w:val="24"/>
          <w:szCs w:val="24"/>
          <w:lang w:eastAsia="es-ES"/>
        </w:rPr>
        <w:t xml:space="preserve">, en 680, murió el hijo de </w:t>
      </w:r>
      <w:proofErr w:type="spellStart"/>
      <w:r w:rsidRPr="00036762">
        <w:rPr>
          <w:rFonts w:ascii="Arial" w:eastAsia="Times New Roman" w:hAnsi="Arial" w:cs="Arial"/>
          <w:sz w:val="24"/>
          <w:szCs w:val="24"/>
          <w:lang w:eastAsia="es-ES"/>
        </w:rPr>
        <w:t>Ali</w:t>
      </w:r>
      <w:proofErr w:type="spellEnd"/>
      <w:r w:rsidRPr="00036762">
        <w:rPr>
          <w:rFonts w:ascii="Arial" w:eastAsia="Times New Roman" w:hAnsi="Arial" w:cs="Arial"/>
          <w:sz w:val="24"/>
          <w:szCs w:val="24"/>
          <w:lang w:eastAsia="es-ES"/>
        </w:rPr>
        <w:t xml:space="preserve"> y nieto del Profeta, </w:t>
      </w:r>
      <w:proofErr w:type="spellStart"/>
      <w:r w:rsidRPr="00036762">
        <w:rPr>
          <w:rFonts w:ascii="Arial" w:eastAsia="Times New Roman" w:hAnsi="Arial" w:cs="Arial"/>
          <w:sz w:val="24"/>
          <w:szCs w:val="24"/>
          <w:lang w:eastAsia="es-ES"/>
        </w:rPr>
        <w:t>Hussain</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ibn</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Alí</w:t>
      </w:r>
      <w:proofErr w:type="spellEnd"/>
      <w:r w:rsidRPr="00036762">
        <w:rPr>
          <w:rFonts w:ascii="Arial" w:eastAsia="Times New Roman" w:hAnsi="Arial" w:cs="Arial"/>
          <w:sz w:val="24"/>
          <w:szCs w:val="24"/>
          <w:lang w:eastAsia="es-ES"/>
        </w:rPr>
        <w:t xml:space="preserve">, y nació el </w:t>
      </w:r>
      <w:proofErr w:type="spellStart"/>
      <w:r w:rsidRPr="00036762">
        <w:rPr>
          <w:rFonts w:ascii="Arial" w:eastAsia="Times New Roman" w:hAnsi="Arial" w:cs="Arial"/>
          <w:i/>
          <w:iCs/>
          <w:sz w:val="24"/>
          <w:szCs w:val="24"/>
          <w:lang w:eastAsia="es-ES"/>
        </w:rPr>
        <w:t>Ashura</w:t>
      </w:r>
      <w:proofErr w:type="spellEnd"/>
      <w:r w:rsidRPr="00036762">
        <w:rPr>
          <w:rFonts w:ascii="Arial" w:eastAsia="Times New Roman" w:hAnsi="Arial" w:cs="Arial"/>
          <w:sz w:val="24"/>
          <w:szCs w:val="24"/>
          <w:lang w:eastAsia="es-ES"/>
        </w:rPr>
        <w:t>: luto sagrado de los chiitas. Irónicamente, aquel campo que inicialmente cuestionó la «</w:t>
      </w:r>
      <w:proofErr w:type="spellStart"/>
      <w:r w:rsidRPr="00036762">
        <w:rPr>
          <w:rFonts w:ascii="Arial" w:eastAsia="Times New Roman" w:hAnsi="Arial" w:cs="Arial"/>
          <w:sz w:val="24"/>
          <w:szCs w:val="24"/>
          <w:lang w:eastAsia="es-ES"/>
        </w:rPr>
        <w:t>dinastización</w:t>
      </w:r>
      <w:proofErr w:type="spellEnd"/>
      <w:r w:rsidRPr="00036762">
        <w:rPr>
          <w:rFonts w:ascii="Arial" w:eastAsia="Times New Roman" w:hAnsi="Arial" w:cs="Arial"/>
          <w:sz w:val="24"/>
          <w:szCs w:val="24"/>
          <w:lang w:eastAsia="es-ES"/>
        </w:rPr>
        <w:t xml:space="preserve">» de la sucesión del Profeta fundó el Califato, la institucionalización de la </w:t>
      </w:r>
      <w:proofErr w:type="spellStart"/>
      <w:r w:rsidRPr="00036762">
        <w:rPr>
          <w:rFonts w:ascii="Arial" w:eastAsia="Times New Roman" w:hAnsi="Arial" w:cs="Arial"/>
          <w:sz w:val="24"/>
          <w:szCs w:val="24"/>
          <w:lang w:eastAsia="es-ES"/>
        </w:rPr>
        <w:t>Umma</w:t>
      </w:r>
      <w:proofErr w:type="spellEnd"/>
      <w:r w:rsidRPr="00036762">
        <w:rPr>
          <w:rFonts w:ascii="Arial" w:eastAsia="Times New Roman" w:hAnsi="Arial" w:cs="Arial"/>
          <w:sz w:val="24"/>
          <w:szCs w:val="24"/>
          <w:lang w:eastAsia="es-ES"/>
        </w:rPr>
        <w:t xml:space="preserve"> que excluyó a los chiitas y los persiguió como herejes. A estos les quedó el trauma de la negación inicial del derecho de sucesión de </w:t>
      </w:r>
      <w:proofErr w:type="spellStart"/>
      <w:r w:rsidRPr="00036762">
        <w:rPr>
          <w:rFonts w:ascii="Arial" w:eastAsia="Times New Roman" w:hAnsi="Arial" w:cs="Arial"/>
          <w:sz w:val="24"/>
          <w:szCs w:val="24"/>
          <w:lang w:eastAsia="es-ES"/>
        </w:rPr>
        <w:t>Ali</w:t>
      </w:r>
      <w:proofErr w:type="spellEnd"/>
      <w:r w:rsidRPr="00036762">
        <w:rPr>
          <w:rFonts w:ascii="Arial" w:eastAsia="Times New Roman" w:hAnsi="Arial" w:cs="Arial"/>
          <w:sz w:val="24"/>
          <w:szCs w:val="24"/>
          <w:lang w:eastAsia="es-ES"/>
        </w:rPr>
        <w:t xml:space="preserve"> y de la traición a sus hijos como una profunda injusticia que sería reparada con la reaparición del </w:t>
      </w:r>
      <w:proofErr w:type="spellStart"/>
      <w:r w:rsidRPr="00036762">
        <w:rPr>
          <w:rFonts w:ascii="Arial" w:eastAsia="Times New Roman" w:hAnsi="Arial" w:cs="Arial"/>
          <w:sz w:val="24"/>
          <w:szCs w:val="24"/>
          <w:lang w:eastAsia="es-ES"/>
        </w:rPr>
        <w:t>Mahdi</w:t>
      </w:r>
      <w:proofErr w:type="spellEnd"/>
      <w:r w:rsidRPr="00036762">
        <w:rPr>
          <w:rFonts w:ascii="Arial" w:eastAsia="Times New Roman" w:hAnsi="Arial" w:cs="Arial"/>
          <w:sz w:val="24"/>
          <w:szCs w:val="24"/>
          <w:lang w:eastAsia="es-ES"/>
        </w:rPr>
        <w:t xml:space="preserve"> (el Guiado), el último, duodécimo, descendiente de la familia de </w:t>
      </w:r>
      <w:proofErr w:type="spellStart"/>
      <w:r w:rsidRPr="00036762">
        <w:rPr>
          <w:rFonts w:ascii="Arial" w:eastAsia="Times New Roman" w:hAnsi="Arial" w:cs="Arial"/>
          <w:sz w:val="24"/>
          <w:szCs w:val="24"/>
          <w:lang w:eastAsia="es-ES"/>
        </w:rPr>
        <w:t>Ali</w:t>
      </w:r>
      <w:proofErr w:type="spellEnd"/>
      <w:r w:rsidRPr="00036762">
        <w:rPr>
          <w:rFonts w:ascii="Arial" w:eastAsia="Times New Roman" w:hAnsi="Arial" w:cs="Arial"/>
          <w:sz w:val="24"/>
          <w:szCs w:val="24"/>
          <w:lang w:eastAsia="es-ES"/>
        </w:rPr>
        <w:t>, que se «ocultó» en 874 con la promesa de volver para el Fin de los Tiempos.</w:t>
      </w:r>
      <w:r w:rsidR="00257A7F">
        <w:rPr>
          <w:rFonts w:ascii="Arial" w:eastAsia="Times New Roman" w:hAnsi="Arial" w:cs="Arial"/>
          <w:sz w:val="24"/>
          <w:szCs w:val="24"/>
          <w:lang w:eastAsia="es-ES"/>
        </w:rPr>
        <w:t xml:space="preserve"> </w:t>
      </w:r>
      <w:r w:rsidRPr="00036762">
        <w:rPr>
          <w:rFonts w:ascii="Arial" w:eastAsia="Times New Roman" w:hAnsi="Arial" w:cs="Arial"/>
          <w:sz w:val="24"/>
          <w:szCs w:val="24"/>
          <w:lang w:eastAsia="es-ES"/>
        </w:rPr>
        <w:t xml:space="preserve">Esa cosmovisión chiita hizo que los descendientes de los partidarios de </w:t>
      </w:r>
      <w:proofErr w:type="spellStart"/>
      <w:r w:rsidRPr="00036762">
        <w:rPr>
          <w:rFonts w:ascii="Arial" w:eastAsia="Times New Roman" w:hAnsi="Arial" w:cs="Arial"/>
          <w:sz w:val="24"/>
          <w:szCs w:val="24"/>
          <w:lang w:eastAsia="es-ES"/>
        </w:rPr>
        <w:t>Ali</w:t>
      </w:r>
      <w:proofErr w:type="spellEnd"/>
      <w:r w:rsidRPr="00036762">
        <w:rPr>
          <w:rFonts w:ascii="Arial" w:eastAsia="Times New Roman" w:hAnsi="Arial" w:cs="Arial"/>
          <w:sz w:val="24"/>
          <w:szCs w:val="24"/>
          <w:lang w:eastAsia="es-ES"/>
        </w:rPr>
        <w:t xml:space="preserve"> adoptaran una actitud pasiva frente a la política, aun cuando la dinastía de los </w:t>
      </w:r>
      <w:proofErr w:type="spellStart"/>
      <w:r w:rsidRPr="00036762">
        <w:rPr>
          <w:rFonts w:ascii="Arial" w:eastAsia="Times New Roman" w:hAnsi="Arial" w:cs="Arial"/>
          <w:sz w:val="24"/>
          <w:szCs w:val="24"/>
          <w:lang w:eastAsia="es-ES"/>
        </w:rPr>
        <w:t>Safávida</w:t>
      </w:r>
      <w:proofErr w:type="spellEnd"/>
      <w:r w:rsidRPr="00036762">
        <w:rPr>
          <w:rFonts w:ascii="Arial" w:eastAsia="Times New Roman" w:hAnsi="Arial" w:cs="Arial"/>
          <w:sz w:val="24"/>
          <w:szCs w:val="24"/>
          <w:lang w:eastAsia="es-ES"/>
        </w:rPr>
        <w:t xml:space="preserve"> (1501-1722) hizo del islam chiita la religión oficial en Irán. El </w:t>
      </w:r>
      <w:proofErr w:type="spellStart"/>
      <w:r w:rsidRPr="00036762">
        <w:rPr>
          <w:rFonts w:ascii="Arial" w:eastAsia="Times New Roman" w:hAnsi="Arial" w:cs="Arial"/>
          <w:sz w:val="24"/>
          <w:szCs w:val="24"/>
          <w:lang w:eastAsia="es-ES"/>
        </w:rPr>
        <w:t>pasivismo</w:t>
      </w:r>
      <w:proofErr w:type="spellEnd"/>
      <w:r w:rsidRPr="00036762">
        <w:rPr>
          <w:rFonts w:ascii="Arial" w:eastAsia="Times New Roman" w:hAnsi="Arial" w:cs="Arial"/>
          <w:sz w:val="24"/>
          <w:szCs w:val="24"/>
          <w:lang w:eastAsia="es-ES"/>
        </w:rPr>
        <w:t xml:space="preserve"> de los chiitas impidió también el desarrollo de una doctrina política, a diferencia del Califato que se institucionalizó como el poder político de la </w:t>
      </w:r>
      <w:proofErr w:type="spellStart"/>
      <w:r w:rsidRPr="00036762">
        <w:rPr>
          <w:rFonts w:ascii="Arial" w:eastAsia="Times New Roman" w:hAnsi="Arial" w:cs="Arial"/>
          <w:sz w:val="24"/>
          <w:szCs w:val="24"/>
          <w:lang w:eastAsia="es-ES"/>
        </w:rPr>
        <w:t>Umma</w:t>
      </w:r>
      <w:proofErr w:type="spellEnd"/>
      <w:r w:rsidRPr="00036762">
        <w:rPr>
          <w:rFonts w:ascii="Arial" w:eastAsia="Times New Roman" w:hAnsi="Arial" w:cs="Arial"/>
          <w:sz w:val="24"/>
          <w:szCs w:val="24"/>
          <w:lang w:eastAsia="es-ES"/>
        </w:rPr>
        <w:t xml:space="preserve">. Por otra parte, sin embargo, el sentimiento de injusticia, como sostiene Hamid </w:t>
      </w:r>
      <w:proofErr w:type="spellStart"/>
      <w:r w:rsidRPr="00036762">
        <w:rPr>
          <w:rFonts w:ascii="Arial" w:eastAsia="Times New Roman" w:hAnsi="Arial" w:cs="Arial"/>
          <w:sz w:val="24"/>
          <w:szCs w:val="24"/>
          <w:lang w:eastAsia="es-ES"/>
        </w:rPr>
        <w:t>Dabashi</w:t>
      </w:r>
      <w:proofErr w:type="spellEnd"/>
      <w:r w:rsidRPr="00036762">
        <w:rPr>
          <w:rFonts w:ascii="Arial" w:eastAsia="Times New Roman" w:hAnsi="Arial" w:cs="Arial"/>
          <w:sz w:val="24"/>
          <w:szCs w:val="24"/>
          <w:lang w:eastAsia="es-ES"/>
        </w:rPr>
        <w:t xml:space="preserve">, también le proporcionó al chiismo el carácter de una religión de protesta que renació con la Revolución Islámica y la doctrina de emancipación del ayatolá </w:t>
      </w:r>
      <w:proofErr w:type="spellStart"/>
      <w:r w:rsidRPr="00036762">
        <w:rPr>
          <w:rFonts w:ascii="Arial" w:eastAsia="Times New Roman" w:hAnsi="Arial" w:cs="Arial"/>
          <w:sz w:val="24"/>
          <w:szCs w:val="24"/>
          <w:lang w:eastAsia="es-ES"/>
        </w:rPr>
        <w:t>Ruhollah</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Jomeini</w:t>
      </w:r>
      <w:proofErr w:type="spellEnd"/>
      <w:r w:rsidRPr="00036762">
        <w:rPr>
          <w:rFonts w:ascii="Arial" w:eastAsia="Times New Roman" w:hAnsi="Arial" w:cs="Arial"/>
          <w:sz w:val="24"/>
          <w:szCs w:val="24"/>
          <w:lang w:eastAsia="es-ES"/>
        </w:rPr>
        <w:t>.</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y que resurge en 1979</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Históricamente, en general los chiitas fueron las víctimas que tuvieron que adoptar técnicas de supervivencia y huir constantemente de la persecución mientras esperaban el regreso del </w:t>
      </w:r>
      <w:proofErr w:type="spellStart"/>
      <w:r w:rsidRPr="00036762">
        <w:rPr>
          <w:rFonts w:ascii="Arial" w:eastAsia="Times New Roman" w:hAnsi="Arial" w:cs="Arial"/>
          <w:sz w:val="24"/>
          <w:szCs w:val="24"/>
          <w:lang w:eastAsia="es-ES"/>
        </w:rPr>
        <w:t>Mahdi</w:t>
      </w:r>
      <w:proofErr w:type="spellEnd"/>
      <w:r w:rsidRPr="00036762">
        <w:rPr>
          <w:rFonts w:ascii="Arial" w:eastAsia="Times New Roman" w:hAnsi="Arial" w:cs="Arial"/>
          <w:sz w:val="24"/>
          <w:szCs w:val="24"/>
          <w:lang w:eastAsia="es-ES"/>
        </w:rPr>
        <w:t xml:space="preserve">. Si distintas dinastías, sobre todo los </w:t>
      </w:r>
      <w:proofErr w:type="spellStart"/>
      <w:r w:rsidRPr="00036762">
        <w:rPr>
          <w:rFonts w:ascii="Arial" w:eastAsia="Times New Roman" w:hAnsi="Arial" w:cs="Arial"/>
          <w:sz w:val="24"/>
          <w:szCs w:val="24"/>
          <w:lang w:eastAsia="es-ES"/>
        </w:rPr>
        <w:t>Safávida</w:t>
      </w:r>
      <w:proofErr w:type="spellEnd"/>
      <w:r w:rsidRPr="00036762">
        <w:rPr>
          <w:rFonts w:ascii="Arial" w:eastAsia="Times New Roman" w:hAnsi="Arial" w:cs="Arial"/>
          <w:sz w:val="24"/>
          <w:szCs w:val="24"/>
          <w:lang w:eastAsia="es-ES"/>
        </w:rPr>
        <w:t xml:space="preserve">, les brindaron protección desde prácticamente la batalla de </w:t>
      </w:r>
      <w:proofErr w:type="spellStart"/>
      <w:r w:rsidRPr="00036762">
        <w:rPr>
          <w:rFonts w:ascii="Arial" w:eastAsia="Times New Roman" w:hAnsi="Arial" w:cs="Arial"/>
          <w:sz w:val="24"/>
          <w:szCs w:val="24"/>
          <w:lang w:eastAsia="es-ES"/>
        </w:rPr>
        <w:t>Karbala</w:t>
      </w:r>
      <w:proofErr w:type="spellEnd"/>
      <w:r w:rsidRPr="00036762">
        <w:rPr>
          <w:rFonts w:ascii="Arial" w:eastAsia="Times New Roman" w:hAnsi="Arial" w:cs="Arial"/>
          <w:sz w:val="24"/>
          <w:szCs w:val="24"/>
          <w:lang w:eastAsia="es-ES"/>
        </w:rPr>
        <w:t xml:space="preserve">, no se puede hablar de un enfrentamiento sunnita-chiita en el sentido de una guerra del Fin de los Tiempos, con sus consecuencias geopolíticas. Como en cualquier fenómeno, varios son los acontecimientos que constituyen el punto de inflexión, según la perspectiva analítica que se adopte. El atentado contra la Mezquita Dorada de Samara del 22 de febrero de 2006, cometido por los seguidores del entonces líder de la sección de Al Qaeda en Iraq, Abu </w:t>
      </w:r>
      <w:proofErr w:type="spellStart"/>
      <w:r w:rsidRPr="00036762">
        <w:rPr>
          <w:rFonts w:ascii="Arial" w:eastAsia="Times New Roman" w:hAnsi="Arial" w:cs="Arial"/>
          <w:sz w:val="24"/>
          <w:szCs w:val="24"/>
          <w:lang w:eastAsia="es-ES"/>
        </w:rPr>
        <w:t>Musab</w:t>
      </w:r>
      <w:proofErr w:type="spellEnd"/>
      <w:r w:rsidRPr="00036762">
        <w:rPr>
          <w:rFonts w:ascii="Arial" w:eastAsia="Times New Roman" w:hAnsi="Arial" w:cs="Arial"/>
          <w:sz w:val="24"/>
          <w:szCs w:val="24"/>
          <w:lang w:eastAsia="es-ES"/>
        </w:rPr>
        <w:t xml:space="preserve"> al </w:t>
      </w:r>
      <w:proofErr w:type="spellStart"/>
      <w:r w:rsidRPr="00036762">
        <w:rPr>
          <w:rFonts w:ascii="Arial" w:eastAsia="Times New Roman" w:hAnsi="Arial" w:cs="Arial"/>
          <w:sz w:val="24"/>
          <w:szCs w:val="24"/>
          <w:lang w:eastAsia="es-ES"/>
        </w:rPr>
        <w:t>Zarqawi</w:t>
      </w:r>
      <w:proofErr w:type="spellEnd"/>
      <w:r w:rsidRPr="00036762">
        <w:rPr>
          <w:rFonts w:ascii="Arial" w:eastAsia="Times New Roman" w:hAnsi="Arial" w:cs="Arial"/>
          <w:sz w:val="24"/>
          <w:szCs w:val="24"/>
          <w:lang w:eastAsia="es-ES"/>
        </w:rPr>
        <w:t xml:space="preserve">, es considerado en general como el giro hacia la </w:t>
      </w:r>
      <w:proofErr w:type="spellStart"/>
      <w:r w:rsidRPr="00036762">
        <w:rPr>
          <w:rFonts w:ascii="Arial" w:eastAsia="Times New Roman" w:hAnsi="Arial" w:cs="Arial"/>
          <w:sz w:val="24"/>
          <w:szCs w:val="24"/>
          <w:lang w:eastAsia="es-ES"/>
        </w:rPr>
        <w:t>sectarización</w:t>
      </w:r>
      <w:proofErr w:type="spellEnd"/>
      <w:r w:rsidRPr="00036762">
        <w:rPr>
          <w:rFonts w:ascii="Arial" w:eastAsia="Times New Roman" w:hAnsi="Arial" w:cs="Arial"/>
          <w:sz w:val="24"/>
          <w:szCs w:val="24"/>
          <w:lang w:eastAsia="es-ES"/>
        </w:rPr>
        <w:t xml:space="preserve"> de la resistencia contra la ocupación estadounidense, debido al simbolismo del lugar de culto donde están las tumbas de dos de los 12 imanes venerados por los chiitas y, sobre todo, la tumba de Al </w:t>
      </w:r>
      <w:proofErr w:type="spellStart"/>
      <w:r w:rsidRPr="00036762">
        <w:rPr>
          <w:rFonts w:ascii="Arial" w:eastAsia="Times New Roman" w:hAnsi="Arial" w:cs="Arial"/>
          <w:sz w:val="24"/>
          <w:szCs w:val="24"/>
          <w:lang w:eastAsia="es-ES"/>
        </w:rPr>
        <w:t>Mahdi</w:t>
      </w:r>
      <w:proofErr w:type="spellEnd"/>
      <w:r w:rsidR="001526DD">
        <w:rPr>
          <w:rFonts w:ascii="Arial" w:hAnsi="Arial" w:cs="Arial"/>
          <w:sz w:val="24"/>
          <w:szCs w:val="24"/>
        </w:rPr>
        <w:t xml:space="preserve">. </w:t>
      </w:r>
      <w:r w:rsidRPr="00036762">
        <w:rPr>
          <w:rFonts w:ascii="Arial" w:eastAsia="Times New Roman" w:hAnsi="Arial" w:cs="Arial"/>
          <w:sz w:val="24"/>
          <w:szCs w:val="24"/>
          <w:lang w:eastAsia="es-ES"/>
        </w:rPr>
        <w:t xml:space="preserve">Otros consideran que el clima de pasiones provocó el (renovado) incendio en 1992, cuando el comandante Ahmad Sah </w:t>
      </w:r>
      <w:proofErr w:type="spellStart"/>
      <w:r w:rsidRPr="00036762">
        <w:rPr>
          <w:rFonts w:ascii="Arial" w:eastAsia="Times New Roman" w:hAnsi="Arial" w:cs="Arial"/>
          <w:sz w:val="24"/>
          <w:szCs w:val="24"/>
          <w:lang w:eastAsia="es-ES"/>
        </w:rPr>
        <w:t>Masud</w:t>
      </w:r>
      <w:proofErr w:type="spellEnd"/>
      <w:r w:rsidRPr="00036762">
        <w:rPr>
          <w:rFonts w:ascii="Arial" w:eastAsia="Times New Roman" w:hAnsi="Arial" w:cs="Arial"/>
          <w:sz w:val="24"/>
          <w:szCs w:val="24"/>
          <w:lang w:eastAsia="es-ES"/>
        </w:rPr>
        <w:t xml:space="preserve">, figura mítica de la resistencia afgana contra la ocupación soviética y considerado por los intelectuales occidentales como un emblema de la democracia, atacó a la tribu chiita de los </w:t>
      </w:r>
      <w:proofErr w:type="spellStart"/>
      <w:r w:rsidRPr="00036762">
        <w:rPr>
          <w:rFonts w:ascii="Arial" w:eastAsia="Times New Roman" w:hAnsi="Arial" w:cs="Arial"/>
          <w:sz w:val="24"/>
          <w:szCs w:val="24"/>
          <w:lang w:eastAsia="es-ES"/>
        </w:rPr>
        <w:t>Hazara</w:t>
      </w:r>
      <w:proofErr w:type="spellEnd"/>
      <w:r w:rsidRPr="00036762">
        <w:rPr>
          <w:rFonts w:ascii="Arial" w:eastAsia="Times New Roman" w:hAnsi="Arial" w:cs="Arial"/>
          <w:sz w:val="24"/>
          <w:szCs w:val="24"/>
          <w:lang w:eastAsia="es-ES"/>
        </w:rPr>
        <w:t>, lo que ocasionó la masacre de 6.000 personas y la violación de 3.000 mujeres en una semana.</w:t>
      </w:r>
      <w:r w:rsidR="00A2759E">
        <w:rPr>
          <w:rFonts w:ascii="Arial" w:eastAsia="Times New Roman" w:hAnsi="Arial" w:cs="Arial"/>
          <w:sz w:val="24"/>
          <w:szCs w:val="24"/>
          <w:lang w:eastAsia="es-ES"/>
        </w:rPr>
        <w:t xml:space="preserve"> </w:t>
      </w:r>
      <w:r w:rsidRPr="00036762">
        <w:rPr>
          <w:rFonts w:ascii="Arial" w:eastAsia="Times New Roman" w:hAnsi="Arial" w:cs="Arial"/>
          <w:sz w:val="24"/>
          <w:szCs w:val="24"/>
          <w:lang w:eastAsia="es-ES"/>
        </w:rPr>
        <w:t xml:space="preserve">Todo esto ha provocado resentimientos en los chiitas, pero también en los sunnitas, quienes tras la caída de Saddam Hussein en 2003 vieron llegar al poder a los chiitas iraquíes. En realidad, habría que regresar al año clave de 1979, cuando, como demuestra David </w:t>
      </w:r>
      <w:proofErr w:type="spellStart"/>
      <w:r w:rsidRPr="00036762">
        <w:rPr>
          <w:rFonts w:ascii="Arial" w:eastAsia="Times New Roman" w:hAnsi="Arial" w:cs="Arial"/>
          <w:sz w:val="24"/>
          <w:szCs w:val="24"/>
          <w:lang w:eastAsia="es-ES"/>
        </w:rPr>
        <w:t>Lesch</w:t>
      </w:r>
      <w:proofErr w:type="spellEnd"/>
      <w:r w:rsidRPr="00036762">
        <w:rPr>
          <w:rFonts w:ascii="Arial" w:eastAsia="Times New Roman" w:hAnsi="Arial" w:cs="Arial"/>
          <w:sz w:val="24"/>
          <w:szCs w:val="24"/>
          <w:lang w:eastAsia="es-ES"/>
        </w:rPr>
        <w:t xml:space="preserve">, tres acontecimientos –la Revolución Islámica en Irán, la invasión soviética de Afganistán y el acuerdo de paz egipcio-israelí– sacudieron los cimientos </w:t>
      </w:r>
      <w:r w:rsidRPr="00036762">
        <w:rPr>
          <w:rFonts w:ascii="Arial" w:eastAsia="Times New Roman" w:hAnsi="Arial" w:cs="Arial"/>
          <w:sz w:val="24"/>
          <w:szCs w:val="24"/>
          <w:lang w:eastAsia="es-ES"/>
        </w:rPr>
        <w:lastRenderedPageBreak/>
        <w:t xml:space="preserve">de un orden geopolítico impuesto por los aliados después de la Primera Guerra Mundial con la creación de los Estados territoriales en las provincias árabes del Imperio Otomano mediante el acuerdo </w:t>
      </w:r>
      <w:proofErr w:type="spellStart"/>
      <w:r w:rsidRPr="00036762">
        <w:rPr>
          <w:rFonts w:ascii="Arial" w:eastAsia="Times New Roman" w:hAnsi="Arial" w:cs="Arial"/>
          <w:sz w:val="24"/>
          <w:szCs w:val="24"/>
          <w:lang w:eastAsia="es-ES"/>
        </w:rPr>
        <w:t>Sykes-Picot</w:t>
      </w:r>
      <w:proofErr w:type="spellEnd"/>
      <w:r w:rsidRPr="00036762">
        <w:rPr>
          <w:rFonts w:ascii="Arial" w:eastAsia="Times New Roman" w:hAnsi="Arial" w:cs="Arial"/>
          <w:sz w:val="24"/>
          <w:szCs w:val="24"/>
          <w:lang w:eastAsia="es-ES"/>
        </w:rPr>
        <w:t xml:space="preserve"> (1916) y el conflicto de «dos pueblos por una tierra»</w:t>
      </w:r>
      <w:r w:rsidR="00042E31">
        <w:rPr>
          <w:rFonts w:ascii="Arial" w:hAnsi="Arial" w:cs="Arial"/>
          <w:sz w:val="24"/>
          <w:szCs w:val="24"/>
        </w:rPr>
        <w:t xml:space="preserve"> </w:t>
      </w:r>
      <w:r w:rsidRPr="00036762">
        <w:rPr>
          <w:rFonts w:ascii="Arial" w:eastAsia="Times New Roman" w:hAnsi="Arial" w:cs="Arial"/>
          <w:sz w:val="24"/>
          <w:szCs w:val="24"/>
          <w:lang w:eastAsia="es-ES"/>
        </w:rPr>
        <w:t>en Palestina</w:t>
      </w:r>
      <w:r w:rsidR="004D60C5">
        <w:rPr>
          <w:rFonts w:ascii="Arial" w:eastAsia="Times New Roman" w:hAnsi="Arial" w:cs="Arial"/>
          <w:sz w:val="24"/>
          <w:szCs w:val="24"/>
          <w:lang w:eastAsia="es-ES"/>
        </w:rPr>
        <w:t xml:space="preserve">. </w:t>
      </w:r>
      <w:r w:rsidRPr="00036762">
        <w:rPr>
          <w:rFonts w:ascii="Arial" w:eastAsia="Times New Roman" w:hAnsi="Arial" w:cs="Arial"/>
          <w:sz w:val="24"/>
          <w:szCs w:val="24"/>
          <w:lang w:eastAsia="es-ES"/>
        </w:rPr>
        <w:t>La interpretación de estos acontecimientos en claves clásicas del balance de poder dejaba pocas dudas: Estados Unidos perdía un aliado de peso, Irán, pero ganaba otro aún más importante: Egipto; y si bien la Revolución Islámica no significó que la Unión Soviética expandiera su influencia en Oriente Medio, la invasión de Afganistán fue percibida por Washington como una clara sobre</w:t>
      </w:r>
      <w:r w:rsidR="00B337CD">
        <w:rPr>
          <w:rFonts w:ascii="Arial" w:eastAsia="Times New Roman" w:hAnsi="Arial" w:cs="Arial"/>
          <w:sz w:val="24"/>
          <w:szCs w:val="24"/>
          <w:lang w:eastAsia="es-ES"/>
        </w:rPr>
        <w:t>-</w:t>
      </w:r>
      <w:r w:rsidRPr="00036762">
        <w:rPr>
          <w:rFonts w:ascii="Arial" w:eastAsia="Times New Roman" w:hAnsi="Arial" w:cs="Arial"/>
          <w:sz w:val="24"/>
          <w:szCs w:val="24"/>
          <w:lang w:eastAsia="es-ES"/>
        </w:rPr>
        <w:t xml:space="preserve">extensión del comunismo en Asia y, por lo tanto, el fin de la </w:t>
      </w:r>
      <w:r w:rsidRPr="00036762">
        <w:rPr>
          <w:rFonts w:ascii="Arial" w:eastAsia="Times New Roman" w:hAnsi="Arial" w:cs="Arial"/>
          <w:i/>
          <w:iCs/>
          <w:sz w:val="24"/>
          <w:szCs w:val="24"/>
          <w:lang w:eastAsia="es-ES"/>
        </w:rPr>
        <w:t>Détente</w:t>
      </w:r>
      <w:r w:rsidRPr="00036762">
        <w:rPr>
          <w:rFonts w:ascii="Arial" w:eastAsia="Times New Roman" w:hAnsi="Arial" w:cs="Arial"/>
          <w:sz w:val="24"/>
          <w:szCs w:val="24"/>
          <w:lang w:eastAsia="es-ES"/>
        </w:rPr>
        <w:t>.</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Pocos estudiosos prestaron debida atención al fenómeno del «regreso de Dios» a la política internacional, aun cuando el hecho capturó el imaginario de los pensadores tanto de la izquierda como de la derecha. Más aún, la guerra Irán-Iraq (1980-1988) vino de algún modo a recordar la vigencia de la lógica westfaliana en los asuntos internacionales, aunque a nadie se le escapó que Saddam Hussein manipuló tanto el nacionalismo árabe como el fantasma de la expansión de la Revolución Islámica para asegurar el apoyo regional e internacional. Tampoco pasó inadvertido cuán importante era el simbolismo de la </w:t>
      </w:r>
      <w:proofErr w:type="spellStart"/>
      <w:r w:rsidRPr="00036762">
        <w:rPr>
          <w:rFonts w:ascii="Arial" w:eastAsia="Times New Roman" w:hAnsi="Arial" w:cs="Arial"/>
          <w:sz w:val="24"/>
          <w:szCs w:val="24"/>
          <w:lang w:eastAsia="es-ES"/>
        </w:rPr>
        <w:t>martirología</w:t>
      </w:r>
      <w:proofErr w:type="spellEnd"/>
      <w:r w:rsidRPr="00036762">
        <w:rPr>
          <w:rFonts w:ascii="Arial" w:eastAsia="Times New Roman" w:hAnsi="Arial" w:cs="Arial"/>
          <w:sz w:val="24"/>
          <w:szCs w:val="24"/>
          <w:lang w:eastAsia="es-ES"/>
        </w:rPr>
        <w:t xml:space="preserve"> chiita a la hora de movilizar a la sociedad iraní durante la guerra contra el poder sunnita iraquí.</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La yihad global como una fuerza profunda de cambio</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En una perspectiva conceptual de fuerzas profundas, 1979 es el año en que la fractura sunnita-chiita –«en realidad se trata de dos religiones profundamente diferentes que comprometieron a los creyentes en dos caminos totalmente separados»– reaparece para revelar lo que sucederá en las próximas tres décadas. En un principio, la Revolución Islámica aparece como la fuerza del cambio frente al conservadurismo de las monarquías sunnitas del golfo Pérsico. Los discursos de </w:t>
      </w:r>
      <w:proofErr w:type="spellStart"/>
      <w:r w:rsidRPr="00036762">
        <w:rPr>
          <w:rFonts w:ascii="Arial" w:eastAsia="Times New Roman" w:hAnsi="Arial" w:cs="Arial"/>
          <w:sz w:val="24"/>
          <w:szCs w:val="24"/>
          <w:lang w:eastAsia="es-ES"/>
        </w:rPr>
        <w:t>Jomeini</w:t>
      </w:r>
      <w:proofErr w:type="spellEnd"/>
      <w:r w:rsidRPr="00036762">
        <w:rPr>
          <w:rFonts w:ascii="Arial" w:eastAsia="Times New Roman" w:hAnsi="Arial" w:cs="Arial"/>
          <w:sz w:val="24"/>
          <w:szCs w:val="24"/>
          <w:lang w:eastAsia="es-ES"/>
        </w:rPr>
        <w:t xml:space="preserve"> tenían una fuerte resonancia de un tercermundismo renovado, con sus apelaciones a todos los oprimidos. En efecto, el ayatolá «se presentó como un líder de masas, con un discurso antiimperialista y populista, enfatizando la importancia de lo cultural, lo nacional y la reconstrucción política por sobre la revolución socioeconómica». Frente a esta amenaza fuertemente percibida y resentida tanto por Arabia Saudita como por EEUU, la alianza forjada con el encuentro entre Franklin D. Roosevelt y el rey </w:t>
      </w:r>
      <w:proofErr w:type="spellStart"/>
      <w:r w:rsidRPr="00036762">
        <w:rPr>
          <w:rFonts w:ascii="Arial" w:eastAsia="Times New Roman" w:hAnsi="Arial" w:cs="Arial"/>
          <w:sz w:val="24"/>
          <w:szCs w:val="24"/>
          <w:lang w:eastAsia="es-ES"/>
        </w:rPr>
        <w:t>Abd</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alAziz</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Ibn</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Saud</w:t>
      </w:r>
      <w:proofErr w:type="spellEnd"/>
      <w:r w:rsidRPr="00036762">
        <w:rPr>
          <w:rFonts w:ascii="Arial" w:eastAsia="Times New Roman" w:hAnsi="Arial" w:cs="Arial"/>
          <w:sz w:val="24"/>
          <w:szCs w:val="24"/>
          <w:lang w:eastAsia="es-ES"/>
        </w:rPr>
        <w:t xml:space="preserve"> el 14 de febrero de 1945 y consolidada durante la Guerra Fría</w:t>
      </w:r>
      <w:r w:rsidR="00307D28">
        <w:rPr>
          <w:rFonts w:ascii="Arial" w:eastAsia="Times New Roman" w:hAnsi="Arial" w:cs="Arial"/>
          <w:sz w:val="24"/>
          <w:szCs w:val="24"/>
          <w:lang w:eastAsia="es-ES"/>
        </w:rPr>
        <w:t>,</w:t>
      </w:r>
      <w:r w:rsidRPr="00036762">
        <w:rPr>
          <w:rFonts w:ascii="Arial" w:eastAsia="Times New Roman" w:hAnsi="Arial" w:cs="Arial"/>
          <w:sz w:val="24"/>
          <w:szCs w:val="24"/>
          <w:lang w:eastAsia="es-ES"/>
        </w:rPr>
        <w:t xml:space="preserve"> se estrechó aún más, sobre todo durante la guerra entre Teherán y Bagdad.</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Si bien la vertiente sunnita del islam parece caracterizada por su conservadurismo, el statu quo y la aversión al cambio, un análisis crítico de su aparición en el contexto de la decadencia, crisis y caída del Imperio Otomano y su posterior evolución en el siglo XX deja pocas dudas de su carácter de fuerza profunda cuyo alcance geográfico, radicalidad de las fuentes normativas y fines últimos apuestan a una transformación geopolítica mucho más profunda, violenta e intransigente que la Revolución Islámica. Ahí están, para demostrarlo, la actual reconfiguración territorial en Iraq y Siria, con la ocupación de Mosul por parte del Estado Islámico (EI o </w:t>
      </w:r>
      <w:proofErr w:type="spellStart"/>
      <w:r w:rsidRPr="00036762">
        <w:rPr>
          <w:rFonts w:ascii="Arial" w:eastAsia="Times New Roman" w:hAnsi="Arial" w:cs="Arial"/>
          <w:i/>
          <w:iCs/>
          <w:sz w:val="24"/>
          <w:szCs w:val="24"/>
          <w:lang w:eastAsia="es-ES"/>
        </w:rPr>
        <w:t>Daesh</w:t>
      </w:r>
      <w:proofErr w:type="spellEnd"/>
      <w:r w:rsidRPr="00036762">
        <w:rPr>
          <w:rFonts w:ascii="Arial" w:eastAsia="Times New Roman" w:hAnsi="Arial" w:cs="Arial"/>
          <w:sz w:val="24"/>
          <w:szCs w:val="24"/>
          <w:lang w:eastAsia="es-ES"/>
        </w:rPr>
        <w:t xml:space="preserve"> por su acrónimo árabe) en junio de 2014 y la proclamación del Califato.</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lastRenderedPageBreak/>
        <w:t xml:space="preserve">Las dos caras más visibles del islam sunnita como fuerza profunda movilizadora en la actualidad son Al Qaeda, bajo el liderazgo de </w:t>
      </w:r>
      <w:proofErr w:type="spellStart"/>
      <w:r w:rsidRPr="00036762">
        <w:rPr>
          <w:rFonts w:ascii="Arial" w:eastAsia="Times New Roman" w:hAnsi="Arial" w:cs="Arial"/>
          <w:sz w:val="24"/>
          <w:szCs w:val="24"/>
          <w:lang w:eastAsia="es-ES"/>
        </w:rPr>
        <w:t>Aymán</w:t>
      </w:r>
      <w:proofErr w:type="spellEnd"/>
      <w:r w:rsidRPr="00036762">
        <w:rPr>
          <w:rFonts w:ascii="Arial" w:eastAsia="Times New Roman" w:hAnsi="Arial" w:cs="Arial"/>
          <w:sz w:val="24"/>
          <w:szCs w:val="24"/>
          <w:lang w:eastAsia="es-ES"/>
        </w:rPr>
        <w:t xml:space="preserve"> al </w:t>
      </w:r>
      <w:proofErr w:type="spellStart"/>
      <w:r w:rsidRPr="00036762">
        <w:rPr>
          <w:rFonts w:ascii="Arial" w:eastAsia="Times New Roman" w:hAnsi="Arial" w:cs="Arial"/>
          <w:sz w:val="24"/>
          <w:szCs w:val="24"/>
          <w:lang w:eastAsia="es-ES"/>
        </w:rPr>
        <w:t>Zawahirí</w:t>
      </w:r>
      <w:proofErr w:type="spellEnd"/>
      <w:r w:rsidRPr="00036762">
        <w:rPr>
          <w:rFonts w:ascii="Arial" w:eastAsia="Times New Roman" w:hAnsi="Arial" w:cs="Arial"/>
          <w:sz w:val="24"/>
          <w:szCs w:val="24"/>
          <w:lang w:eastAsia="es-ES"/>
        </w:rPr>
        <w:t xml:space="preserve">, y el EI, bajo el autoproclamado califa Abu </w:t>
      </w:r>
      <w:proofErr w:type="spellStart"/>
      <w:r w:rsidRPr="00036762">
        <w:rPr>
          <w:rFonts w:ascii="Arial" w:eastAsia="Times New Roman" w:hAnsi="Arial" w:cs="Arial"/>
          <w:sz w:val="24"/>
          <w:szCs w:val="24"/>
          <w:lang w:eastAsia="es-ES"/>
        </w:rPr>
        <w:t>Bakr</w:t>
      </w:r>
      <w:proofErr w:type="spellEnd"/>
      <w:r w:rsidRPr="00036762">
        <w:rPr>
          <w:rFonts w:ascii="Arial" w:eastAsia="Times New Roman" w:hAnsi="Arial" w:cs="Arial"/>
          <w:sz w:val="24"/>
          <w:szCs w:val="24"/>
          <w:lang w:eastAsia="es-ES"/>
        </w:rPr>
        <w:t xml:space="preserve"> al-</w:t>
      </w:r>
      <w:proofErr w:type="spellStart"/>
      <w:r w:rsidRPr="00036762">
        <w:rPr>
          <w:rFonts w:ascii="Arial" w:eastAsia="Times New Roman" w:hAnsi="Arial" w:cs="Arial"/>
          <w:sz w:val="24"/>
          <w:szCs w:val="24"/>
          <w:lang w:eastAsia="es-ES"/>
        </w:rPr>
        <w:t>Baghdadi</w:t>
      </w:r>
      <w:proofErr w:type="spellEnd"/>
      <w:r w:rsidRPr="00036762">
        <w:rPr>
          <w:rFonts w:ascii="Arial" w:eastAsia="Times New Roman" w:hAnsi="Arial" w:cs="Arial"/>
          <w:sz w:val="24"/>
          <w:szCs w:val="24"/>
          <w:lang w:eastAsia="es-ES"/>
        </w:rPr>
        <w:t xml:space="preserve">, además de todas las organizaciones que se extienden desde Asia Central hasta el Cáucaso, el norte y centro de África, de las cuales algunas podrían pretender, en virtud de su experiencia y alcance, el liderazgo de la </w:t>
      </w:r>
      <w:proofErr w:type="spellStart"/>
      <w:r w:rsidRPr="00036762">
        <w:rPr>
          <w:rFonts w:ascii="Arial" w:eastAsia="Times New Roman" w:hAnsi="Arial" w:cs="Arial"/>
          <w:sz w:val="24"/>
          <w:szCs w:val="24"/>
          <w:lang w:eastAsia="es-ES"/>
        </w:rPr>
        <w:t>Umma</w:t>
      </w:r>
      <w:proofErr w:type="spellEnd"/>
      <w:r w:rsidRPr="00036762">
        <w:rPr>
          <w:rFonts w:ascii="Arial" w:eastAsia="Times New Roman" w:hAnsi="Arial" w:cs="Arial"/>
          <w:sz w:val="24"/>
          <w:szCs w:val="24"/>
          <w:lang w:eastAsia="es-ES"/>
        </w:rPr>
        <w:t>, como ocurre con los talibanes en Afganistán. El conjunto de estos grupos refleja un fenómeno que la prensa occidental vulgarizó como la «yihad global» o «</w:t>
      </w:r>
      <w:proofErr w:type="spellStart"/>
      <w:r w:rsidRPr="00036762">
        <w:rPr>
          <w:rFonts w:ascii="Arial" w:eastAsia="Times New Roman" w:hAnsi="Arial" w:cs="Arial"/>
          <w:sz w:val="24"/>
          <w:szCs w:val="24"/>
          <w:lang w:eastAsia="es-ES"/>
        </w:rPr>
        <w:t>yihadismo</w:t>
      </w:r>
      <w:proofErr w:type="spellEnd"/>
      <w:r w:rsidRPr="00036762">
        <w:rPr>
          <w:rFonts w:ascii="Arial" w:eastAsia="Times New Roman" w:hAnsi="Arial" w:cs="Arial"/>
          <w:sz w:val="24"/>
          <w:szCs w:val="24"/>
          <w:lang w:eastAsia="es-ES"/>
        </w:rPr>
        <w:t>»; ambos conceptos tienen una carga «orientalista»</w:t>
      </w:r>
      <w:r w:rsidR="00092CD7">
        <w:rPr>
          <w:rFonts w:ascii="Arial" w:hAnsi="Arial" w:cs="Arial"/>
          <w:sz w:val="24"/>
          <w:szCs w:val="24"/>
        </w:rPr>
        <w:t xml:space="preserve"> </w:t>
      </w:r>
      <w:r w:rsidRPr="00036762">
        <w:rPr>
          <w:rFonts w:ascii="Arial" w:eastAsia="Times New Roman" w:hAnsi="Arial" w:cs="Arial"/>
          <w:sz w:val="24"/>
          <w:szCs w:val="24"/>
          <w:lang w:eastAsia="es-ES"/>
        </w:rPr>
        <w:t>importante, pero a falta de un término mejor para denominar el fenómeno, los usamos para diferenciarlo en sus orígenes sociales de la Revolución Islámica (chiita).</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El fenómeno de la yihad global nació inicialmente como una profunda preocupación por la decadencia del Imperio Otomano y la expansión de las ideas de la secularidad moderna en las sociedades musulmanas en la segunda mitad del siglo XIX. Se formuló como discurso y militancia contra la </w:t>
      </w:r>
      <w:proofErr w:type="spellStart"/>
      <w:r w:rsidRPr="00036762">
        <w:rPr>
          <w:rFonts w:ascii="Arial" w:eastAsia="Times New Roman" w:hAnsi="Arial" w:cs="Arial"/>
          <w:sz w:val="24"/>
          <w:szCs w:val="24"/>
          <w:lang w:eastAsia="es-ES"/>
        </w:rPr>
        <w:t>Tanzimat</w:t>
      </w:r>
      <w:proofErr w:type="spellEnd"/>
      <w:r w:rsidRPr="00036762">
        <w:rPr>
          <w:rFonts w:ascii="Arial" w:eastAsia="Times New Roman" w:hAnsi="Arial" w:cs="Arial"/>
          <w:sz w:val="24"/>
          <w:szCs w:val="24"/>
          <w:lang w:eastAsia="es-ES"/>
        </w:rPr>
        <w:t xml:space="preserve"> –el intento de reformas administrativas realizado por los sultanes </w:t>
      </w:r>
      <w:proofErr w:type="spellStart"/>
      <w:r w:rsidRPr="00036762">
        <w:rPr>
          <w:rFonts w:ascii="Arial" w:eastAsia="Times New Roman" w:hAnsi="Arial" w:cs="Arial"/>
          <w:sz w:val="24"/>
          <w:szCs w:val="24"/>
          <w:lang w:eastAsia="es-ES"/>
        </w:rPr>
        <w:t>Mahmut</w:t>
      </w:r>
      <w:proofErr w:type="spellEnd"/>
      <w:r w:rsidRPr="00036762">
        <w:rPr>
          <w:rFonts w:ascii="Arial" w:eastAsia="Times New Roman" w:hAnsi="Arial" w:cs="Arial"/>
          <w:sz w:val="24"/>
          <w:szCs w:val="24"/>
          <w:lang w:eastAsia="es-ES"/>
        </w:rPr>
        <w:t xml:space="preserve"> II y </w:t>
      </w:r>
      <w:proofErr w:type="spellStart"/>
      <w:r w:rsidRPr="00036762">
        <w:rPr>
          <w:rFonts w:ascii="Arial" w:eastAsia="Times New Roman" w:hAnsi="Arial" w:cs="Arial"/>
          <w:sz w:val="24"/>
          <w:szCs w:val="24"/>
          <w:lang w:eastAsia="es-ES"/>
        </w:rPr>
        <w:t>Abdülmecit</w:t>
      </w:r>
      <w:proofErr w:type="spellEnd"/>
      <w:r w:rsidRPr="00036762">
        <w:rPr>
          <w:rFonts w:ascii="Arial" w:eastAsia="Times New Roman" w:hAnsi="Arial" w:cs="Arial"/>
          <w:sz w:val="24"/>
          <w:szCs w:val="24"/>
          <w:lang w:eastAsia="es-ES"/>
        </w:rPr>
        <w:t xml:space="preserve"> I entre 1839 y 1876 bajo la presión de las potencias europeas, que otorgaba a todas las nacionalidades del Imperio la igualdad ante la ley– y contra fenómenos culturales y sociales como el movimiento de Al </w:t>
      </w:r>
      <w:proofErr w:type="spellStart"/>
      <w:r w:rsidRPr="00036762">
        <w:rPr>
          <w:rFonts w:ascii="Arial" w:eastAsia="Times New Roman" w:hAnsi="Arial" w:cs="Arial"/>
          <w:sz w:val="24"/>
          <w:szCs w:val="24"/>
          <w:lang w:eastAsia="es-ES"/>
        </w:rPr>
        <w:t>Nahda</w:t>
      </w:r>
      <w:proofErr w:type="spellEnd"/>
      <w:r w:rsidRPr="00036762">
        <w:rPr>
          <w:rFonts w:ascii="Arial" w:eastAsia="Times New Roman" w:hAnsi="Arial" w:cs="Arial"/>
          <w:sz w:val="24"/>
          <w:szCs w:val="24"/>
          <w:lang w:eastAsia="es-ES"/>
        </w:rPr>
        <w:t xml:space="preserve"> («despertar») en las sociedades árabes, bajo la influencia de Occidente. Los primeros pensadores del islam político moderno, como Jamal al </w:t>
      </w:r>
      <w:proofErr w:type="spellStart"/>
      <w:r w:rsidRPr="00036762">
        <w:rPr>
          <w:rFonts w:ascii="Arial" w:eastAsia="Times New Roman" w:hAnsi="Arial" w:cs="Arial"/>
          <w:sz w:val="24"/>
          <w:szCs w:val="24"/>
          <w:lang w:eastAsia="es-ES"/>
        </w:rPr>
        <w:t>Din</w:t>
      </w:r>
      <w:proofErr w:type="spellEnd"/>
      <w:r w:rsidRPr="00036762">
        <w:rPr>
          <w:rFonts w:ascii="Arial" w:eastAsia="Times New Roman" w:hAnsi="Arial" w:cs="Arial"/>
          <w:sz w:val="24"/>
          <w:szCs w:val="24"/>
          <w:lang w:eastAsia="es-ES"/>
        </w:rPr>
        <w:t xml:space="preserve"> al </w:t>
      </w:r>
      <w:proofErr w:type="spellStart"/>
      <w:r w:rsidRPr="00036762">
        <w:rPr>
          <w:rFonts w:ascii="Arial" w:eastAsia="Times New Roman" w:hAnsi="Arial" w:cs="Arial"/>
          <w:sz w:val="24"/>
          <w:szCs w:val="24"/>
          <w:lang w:eastAsia="es-ES"/>
        </w:rPr>
        <w:t>Afghani</w:t>
      </w:r>
      <w:proofErr w:type="spellEnd"/>
      <w:r w:rsidRPr="00036762">
        <w:rPr>
          <w:rFonts w:ascii="Arial" w:eastAsia="Times New Roman" w:hAnsi="Arial" w:cs="Arial"/>
          <w:sz w:val="24"/>
          <w:szCs w:val="24"/>
          <w:lang w:eastAsia="es-ES"/>
        </w:rPr>
        <w:t xml:space="preserve">, estaban convencidos de la capacidad del islam para modernizarse y hacer frente a las potencias occidentales. Aspiraban a reunificar la </w:t>
      </w:r>
      <w:proofErr w:type="spellStart"/>
      <w:r w:rsidRPr="00036762">
        <w:rPr>
          <w:rFonts w:ascii="Arial" w:eastAsia="Times New Roman" w:hAnsi="Arial" w:cs="Arial"/>
          <w:sz w:val="24"/>
          <w:szCs w:val="24"/>
          <w:lang w:eastAsia="es-ES"/>
        </w:rPr>
        <w:t>Umma</w:t>
      </w:r>
      <w:proofErr w:type="spellEnd"/>
      <w:r w:rsidRPr="00036762">
        <w:rPr>
          <w:rFonts w:ascii="Arial" w:eastAsia="Times New Roman" w:hAnsi="Arial" w:cs="Arial"/>
          <w:sz w:val="24"/>
          <w:szCs w:val="24"/>
          <w:lang w:eastAsia="es-ES"/>
        </w:rPr>
        <w:t xml:space="preserve"> sin diferenciar entre sunnitas y chiitas, y se enemistaron con los detentores del poder estatal por su insistencia en la movilización popular. La derrota otomana en la Primera Guerra Mundial, la imposición del Estado territorial y el golpe aún más duro causado por la abolición del Califato por el decreto del líder turco secularizador </w:t>
      </w:r>
      <w:proofErr w:type="spellStart"/>
      <w:r w:rsidRPr="00036762">
        <w:rPr>
          <w:rFonts w:ascii="Arial" w:eastAsia="Times New Roman" w:hAnsi="Arial" w:cs="Arial"/>
          <w:sz w:val="24"/>
          <w:szCs w:val="24"/>
          <w:lang w:eastAsia="es-ES"/>
        </w:rPr>
        <w:t>Mustafa</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Kemal</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Atatürk</w:t>
      </w:r>
      <w:proofErr w:type="spellEnd"/>
      <w:r w:rsidRPr="00036762">
        <w:rPr>
          <w:rFonts w:ascii="Arial" w:eastAsia="Times New Roman" w:hAnsi="Arial" w:cs="Arial"/>
          <w:sz w:val="24"/>
          <w:szCs w:val="24"/>
          <w:lang w:eastAsia="es-ES"/>
        </w:rPr>
        <w:t xml:space="preserve"> en 1924 pusieron fin a sus sueños.</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Sobre la base inicial del pensamiento de estos primeros modernizadores del islam político, se construyó en Egipto a partir de 1928 la primera organización política –la organización madre, en realidad– del islamismo contemporáneo, que pronto se expandiría hacia Palestina bajo el mandato británico, Siria e Iraq, entre otros territorios del islam: los Hermanos Musulmanes, cuyo referente ideológico era Hasan al </w:t>
      </w:r>
      <w:proofErr w:type="spellStart"/>
      <w:r w:rsidRPr="00036762">
        <w:rPr>
          <w:rFonts w:ascii="Arial" w:eastAsia="Times New Roman" w:hAnsi="Arial" w:cs="Arial"/>
          <w:sz w:val="24"/>
          <w:szCs w:val="24"/>
          <w:lang w:eastAsia="es-ES"/>
        </w:rPr>
        <w:t>Banna</w:t>
      </w:r>
      <w:proofErr w:type="spellEnd"/>
      <w:r w:rsidRPr="00036762">
        <w:rPr>
          <w:rFonts w:ascii="Arial" w:eastAsia="Times New Roman" w:hAnsi="Arial" w:cs="Arial"/>
          <w:sz w:val="24"/>
          <w:szCs w:val="24"/>
          <w:lang w:eastAsia="es-ES"/>
        </w:rPr>
        <w:t xml:space="preserve">. El principal objetivo de la organización fue la lucha contra la secularización de las sociedades musulmanas, aunque no se excluyó ni de las luchas nacionales, como Palestina, ni de los procesos reformistas, como el golpe militar de </w:t>
      </w:r>
      <w:proofErr w:type="spellStart"/>
      <w:r w:rsidRPr="00036762">
        <w:rPr>
          <w:rFonts w:ascii="Arial" w:eastAsia="Times New Roman" w:hAnsi="Arial" w:cs="Arial"/>
          <w:sz w:val="24"/>
          <w:szCs w:val="24"/>
          <w:lang w:eastAsia="es-ES"/>
        </w:rPr>
        <w:t>Nasser</w:t>
      </w:r>
      <w:proofErr w:type="spellEnd"/>
      <w:r w:rsidRPr="00036762">
        <w:rPr>
          <w:rFonts w:ascii="Arial" w:eastAsia="Times New Roman" w:hAnsi="Arial" w:cs="Arial"/>
          <w:sz w:val="24"/>
          <w:szCs w:val="24"/>
          <w:lang w:eastAsia="es-ES"/>
        </w:rPr>
        <w:t xml:space="preserve"> en Egipto, a quien luego se enfrentó con violencia; este respondió con una fuerte represión sobre la organización.</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Nacidos como una organización de asistencia social que contó con el secreto apoyo de los británicos, los Hermanos Musulmanes se politizaron y se radicalizaron bajo el impulso del pensamiento de </w:t>
      </w:r>
      <w:proofErr w:type="spellStart"/>
      <w:r w:rsidRPr="00036762">
        <w:rPr>
          <w:rFonts w:ascii="Arial" w:eastAsia="Times New Roman" w:hAnsi="Arial" w:cs="Arial"/>
          <w:sz w:val="24"/>
          <w:szCs w:val="24"/>
          <w:lang w:eastAsia="es-ES"/>
        </w:rPr>
        <w:t>Sayyid</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Qutb</w:t>
      </w:r>
      <w:proofErr w:type="spellEnd"/>
      <w:r w:rsidRPr="00036762">
        <w:rPr>
          <w:rFonts w:ascii="Arial" w:eastAsia="Times New Roman" w:hAnsi="Arial" w:cs="Arial"/>
          <w:sz w:val="24"/>
          <w:szCs w:val="24"/>
          <w:lang w:eastAsia="es-ES"/>
        </w:rPr>
        <w:t xml:space="preserve">, el referente de la legitimación del uso de la violencia en nombre del islam, él mismo convertido en el primer mártir de la causa islamista cuando fue condenado a muerte bajo el gobierno de </w:t>
      </w:r>
      <w:proofErr w:type="spellStart"/>
      <w:r w:rsidRPr="00036762">
        <w:rPr>
          <w:rFonts w:ascii="Arial" w:eastAsia="Times New Roman" w:hAnsi="Arial" w:cs="Arial"/>
          <w:sz w:val="24"/>
          <w:szCs w:val="24"/>
          <w:lang w:eastAsia="es-ES"/>
        </w:rPr>
        <w:t>Nasser</w:t>
      </w:r>
      <w:proofErr w:type="spellEnd"/>
      <w:r w:rsidRPr="00036762">
        <w:rPr>
          <w:rFonts w:ascii="Arial" w:eastAsia="Times New Roman" w:hAnsi="Arial" w:cs="Arial"/>
          <w:sz w:val="24"/>
          <w:szCs w:val="24"/>
          <w:lang w:eastAsia="es-ES"/>
        </w:rPr>
        <w:t xml:space="preserve"> en 1965. De esta organización madre nacieron los grupos que recurrieron a la violencia contra el régimen de </w:t>
      </w:r>
      <w:proofErr w:type="spellStart"/>
      <w:r w:rsidRPr="00036762">
        <w:rPr>
          <w:rFonts w:ascii="Arial" w:eastAsia="Times New Roman" w:hAnsi="Arial" w:cs="Arial"/>
          <w:sz w:val="24"/>
          <w:szCs w:val="24"/>
          <w:lang w:eastAsia="es-ES"/>
        </w:rPr>
        <w:t>Hafez</w:t>
      </w:r>
      <w:proofErr w:type="spellEnd"/>
      <w:r w:rsidRPr="00036762">
        <w:rPr>
          <w:rFonts w:ascii="Arial" w:eastAsia="Times New Roman" w:hAnsi="Arial" w:cs="Arial"/>
          <w:sz w:val="24"/>
          <w:szCs w:val="24"/>
          <w:lang w:eastAsia="es-ES"/>
        </w:rPr>
        <w:t xml:space="preserve"> al Asad (1971-2000) en Siria. Allí, además de manifestar </w:t>
      </w:r>
      <w:r w:rsidRPr="00036762">
        <w:rPr>
          <w:rFonts w:ascii="Arial" w:eastAsia="Times New Roman" w:hAnsi="Arial" w:cs="Arial"/>
          <w:sz w:val="24"/>
          <w:szCs w:val="24"/>
          <w:lang w:eastAsia="es-ES"/>
        </w:rPr>
        <w:lastRenderedPageBreak/>
        <w:t xml:space="preserve">oposición a la ideología secular y nacionalista del partido </w:t>
      </w:r>
      <w:proofErr w:type="spellStart"/>
      <w:r w:rsidRPr="00036762">
        <w:rPr>
          <w:rFonts w:ascii="Arial" w:eastAsia="Times New Roman" w:hAnsi="Arial" w:cs="Arial"/>
          <w:sz w:val="24"/>
          <w:szCs w:val="24"/>
          <w:lang w:eastAsia="es-ES"/>
        </w:rPr>
        <w:t>Baaz</w:t>
      </w:r>
      <w:proofErr w:type="spellEnd"/>
      <w:r w:rsidRPr="00036762">
        <w:rPr>
          <w:rFonts w:ascii="Arial" w:eastAsia="Times New Roman" w:hAnsi="Arial" w:cs="Arial"/>
          <w:sz w:val="24"/>
          <w:szCs w:val="24"/>
          <w:lang w:eastAsia="es-ES"/>
        </w:rPr>
        <w:t xml:space="preserve">, negaron toda legitimidad como gobernante al presidente alauita, una confesión minoritaria dentro del chiismo que los sunnitas consideran directamente como una herejía. En Egipto, asesinaron al presidente Anwar el </w:t>
      </w:r>
      <w:proofErr w:type="spellStart"/>
      <w:r w:rsidRPr="00036762">
        <w:rPr>
          <w:rFonts w:ascii="Arial" w:eastAsia="Times New Roman" w:hAnsi="Arial" w:cs="Arial"/>
          <w:sz w:val="24"/>
          <w:szCs w:val="24"/>
          <w:lang w:eastAsia="es-ES"/>
        </w:rPr>
        <w:t>Sadat</w:t>
      </w:r>
      <w:proofErr w:type="spellEnd"/>
      <w:r w:rsidRPr="00036762">
        <w:rPr>
          <w:rFonts w:ascii="Arial" w:eastAsia="Times New Roman" w:hAnsi="Arial" w:cs="Arial"/>
          <w:sz w:val="24"/>
          <w:szCs w:val="24"/>
          <w:lang w:eastAsia="es-ES"/>
        </w:rPr>
        <w:t xml:space="preserve"> en 1981, y en los territorios palestinos bajo ocupación israelí apoyaron la creación de Hamás para disputarle el liderazgo a la Organización para la Liberación de Palestina, y sobre todo a </w:t>
      </w:r>
      <w:proofErr w:type="spellStart"/>
      <w:r w:rsidRPr="00036762">
        <w:rPr>
          <w:rFonts w:ascii="Arial" w:eastAsia="Times New Roman" w:hAnsi="Arial" w:cs="Arial"/>
          <w:sz w:val="24"/>
          <w:szCs w:val="24"/>
          <w:lang w:eastAsia="es-ES"/>
        </w:rPr>
        <w:t>Fatah</w:t>
      </w:r>
      <w:proofErr w:type="spellEnd"/>
      <w:r w:rsidRPr="00036762">
        <w:rPr>
          <w:rFonts w:ascii="Arial" w:eastAsia="Times New Roman" w:hAnsi="Arial" w:cs="Arial"/>
          <w:sz w:val="24"/>
          <w:szCs w:val="24"/>
          <w:lang w:eastAsia="es-ES"/>
        </w:rPr>
        <w:t>.</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Sin embargo, la organización que le va a dar a la yihad su alcance global va a ser sin duda Al Qaeda, producto del caldo de cultivo del islamismo fomentado por la administración de Ronald Reagan en su lucha contra el «imperio del mal» y luego abandonado a su suerte. En Afganistán, los muyahidines entrenados por los servicios paquistaníes y estadounidenses forjaron la convicción de que la fuerza del islam que había sido capaz de derrotar a un imperio (la URSS) podría luchar más tarde contra el otro (EEUU). En ese marco, se produjeron los atentados contra las embajadas estadounidenses en Kenia y Tanzania en 1998, el ataque al </w:t>
      </w:r>
      <w:r w:rsidRPr="00036762">
        <w:rPr>
          <w:rFonts w:ascii="Arial" w:eastAsia="Times New Roman" w:hAnsi="Arial" w:cs="Arial"/>
          <w:i/>
          <w:iCs/>
          <w:sz w:val="24"/>
          <w:szCs w:val="24"/>
          <w:lang w:eastAsia="es-ES"/>
        </w:rPr>
        <w:t>USS Cole</w:t>
      </w:r>
      <w:r w:rsidRPr="00036762">
        <w:rPr>
          <w:rFonts w:ascii="Arial" w:eastAsia="Times New Roman" w:hAnsi="Arial" w:cs="Arial"/>
          <w:sz w:val="24"/>
          <w:szCs w:val="24"/>
          <w:lang w:eastAsia="es-ES"/>
        </w:rPr>
        <w:t xml:space="preserve"> en Yemen (2000) y, finalmente, el atentado en el corazón mismo de la superpotencia el 11 de septiembre de </w:t>
      </w:r>
      <w:r w:rsidR="002F24F7">
        <w:rPr>
          <w:rFonts w:ascii="Arial" w:eastAsia="Times New Roman" w:hAnsi="Arial" w:cs="Arial"/>
          <w:sz w:val="24"/>
          <w:szCs w:val="24"/>
          <w:lang w:eastAsia="es-ES"/>
        </w:rPr>
        <w:t>2001.</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Al Qaeda, parte del </w:t>
      </w:r>
      <w:proofErr w:type="spellStart"/>
      <w:r w:rsidRPr="00036762">
        <w:rPr>
          <w:rFonts w:ascii="Arial" w:eastAsia="Times New Roman" w:hAnsi="Arial" w:cs="Arial"/>
          <w:sz w:val="24"/>
          <w:szCs w:val="24"/>
          <w:lang w:eastAsia="es-ES"/>
        </w:rPr>
        <w:t>sunnismo</w:t>
      </w:r>
      <w:proofErr w:type="spellEnd"/>
      <w:r w:rsidRPr="00036762">
        <w:rPr>
          <w:rFonts w:ascii="Arial" w:eastAsia="Times New Roman" w:hAnsi="Arial" w:cs="Arial"/>
          <w:sz w:val="24"/>
          <w:szCs w:val="24"/>
          <w:lang w:eastAsia="es-ES"/>
        </w:rPr>
        <w:t xml:space="preserve"> radical, fue extremadamente exitosa en su expansión desde fines de la década de 1990, tanto en sus tácticas de reclutamiento de militantes como en la capacidad global de su campaña terrorista. Quizá su mayor éxito consistió en entender instintivamente cómo manipular las derivas psicopatológicas, el encerramiento sectario y el desencadenamiento de las creencias, las tres vías hacia la radicalización que los investigadores </w:t>
      </w:r>
      <w:proofErr w:type="gramStart"/>
      <w:r w:rsidRPr="00036762">
        <w:rPr>
          <w:rFonts w:ascii="Arial" w:eastAsia="Times New Roman" w:hAnsi="Arial" w:cs="Arial"/>
          <w:sz w:val="24"/>
          <w:szCs w:val="24"/>
          <w:lang w:eastAsia="es-ES"/>
        </w:rPr>
        <w:t>han</w:t>
      </w:r>
      <w:proofErr w:type="gramEnd"/>
      <w:r w:rsidRPr="00036762">
        <w:rPr>
          <w:rFonts w:ascii="Arial" w:eastAsia="Times New Roman" w:hAnsi="Arial" w:cs="Arial"/>
          <w:sz w:val="24"/>
          <w:szCs w:val="24"/>
          <w:lang w:eastAsia="es-ES"/>
        </w:rPr>
        <w:t xml:space="preserve"> identificado en los jóvenes </w:t>
      </w:r>
      <w:proofErr w:type="spellStart"/>
      <w:r w:rsidRPr="00036762">
        <w:rPr>
          <w:rFonts w:ascii="Arial" w:eastAsia="Times New Roman" w:hAnsi="Arial" w:cs="Arial"/>
          <w:sz w:val="24"/>
          <w:szCs w:val="24"/>
          <w:lang w:eastAsia="es-ES"/>
        </w:rPr>
        <w:t>yihadistas</w:t>
      </w:r>
      <w:proofErr w:type="spellEnd"/>
      <w:r w:rsidRPr="00036762">
        <w:rPr>
          <w:rFonts w:ascii="Arial" w:eastAsia="Times New Roman" w:hAnsi="Arial" w:cs="Arial"/>
          <w:sz w:val="24"/>
          <w:szCs w:val="24"/>
          <w:lang w:eastAsia="es-ES"/>
        </w:rPr>
        <w:t xml:space="preserve"> europeos. Pero luego de la ocupación de Iraq en 2003 y de la gradual concentración de la lucha en Iraq, Yemen y el norte de África desde 2004 y, sobre todo, en 2006, Al Qaeda se transformó en una suerte de marca de referencia para grupos </w:t>
      </w:r>
      <w:proofErr w:type="spellStart"/>
      <w:r w:rsidRPr="00036762">
        <w:rPr>
          <w:rFonts w:ascii="Arial" w:eastAsia="Times New Roman" w:hAnsi="Arial" w:cs="Arial"/>
          <w:sz w:val="24"/>
          <w:szCs w:val="24"/>
          <w:lang w:eastAsia="es-ES"/>
        </w:rPr>
        <w:t>yihadistas</w:t>
      </w:r>
      <w:proofErr w:type="spellEnd"/>
      <w:r w:rsidRPr="00036762">
        <w:rPr>
          <w:rFonts w:ascii="Arial" w:eastAsia="Times New Roman" w:hAnsi="Arial" w:cs="Arial"/>
          <w:sz w:val="24"/>
          <w:szCs w:val="24"/>
          <w:lang w:eastAsia="es-ES"/>
        </w:rPr>
        <w:t>, moldeados sobre la misma organización y modus operandi –surgidos bajo el liderazgo de combatientes que habían pasado por el bautismo de fuego en Afganistán– que marcaron a los nuevos reclutados que se impusieron en el campo de batalla donde operaban.</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Entre estos combatientes se destacó Abu </w:t>
      </w:r>
      <w:proofErr w:type="spellStart"/>
      <w:r w:rsidRPr="00036762">
        <w:rPr>
          <w:rFonts w:ascii="Arial" w:eastAsia="Times New Roman" w:hAnsi="Arial" w:cs="Arial"/>
          <w:sz w:val="24"/>
          <w:szCs w:val="24"/>
          <w:lang w:eastAsia="es-ES"/>
        </w:rPr>
        <w:t>Musab</w:t>
      </w:r>
      <w:proofErr w:type="spellEnd"/>
      <w:r w:rsidRPr="00036762">
        <w:rPr>
          <w:rFonts w:ascii="Arial" w:eastAsia="Times New Roman" w:hAnsi="Arial" w:cs="Arial"/>
          <w:sz w:val="24"/>
          <w:szCs w:val="24"/>
          <w:lang w:eastAsia="es-ES"/>
        </w:rPr>
        <w:t xml:space="preserve"> al Zarqaui, un jordano que en 2004 fundó su propio grupo </w:t>
      </w:r>
      <w:proofErr w:type="spellStart"/>
      <w:r w:rsidRPr="00036762">
        <w:rPr>
          <w:rFonts w:ascii="Arial" w:eastAsia="Times New Roman" w:hAnsi="Arial" w:cs="Arial"/>
          <w:sz w:val="24"/>
          <w:szCs w:val="24"/>
          <w:lang w:eastAsia="es-ES"/>
        </w:rPr>
        <w:t>yihadista</w:t>
      </w:r>
      <w:proofErr w:type="spellEnd"/>
      <w:r w:rsidRPr="00036762">
        <w:rPr>
          <w:rFonts w:ascii="Arial" w:eastAsia="Times New Roman" w:hAnsi="Arial" w:cs="Arial"/>
          <w:sz w:val="24"/>
          <w:szCs w:val="24"/>
          <w:lang w:eastAsia="es-ES"/>
        </w:rPr>
        <w:t xml:space="preserve"> en Iraq y fue el iniciador de la campaña de terror contra los chiitas. Los mayores referentes de Al Qaeda, Osama </w:t>
      </w:r>
      <w:proofErr w:type="spellStart"/>
      <w:r w:rsidRPr="00036762">
        <w:rPr>
          <w:rFonts w:ascii="Arial" w:eastAsia="Times New Roman" w:hAnsi="Arial" w:cs="Arial"/>
          <w:sz w:val="24"/>
          <w:szCs w:val="24"/>
          <w:lang w:eastAsia="es-ES"/>
        </w:rPr>
        <w:t>Bin</w:t>
      </w:r>
      <w:proofErr w:type="spellEnd"/>
      <w:r w:rsidRPr="00036762">
        <w:rPr>
          <w:rFonts w:ascii="Arial" w:eastAsia="Times New Roman" w:hAnsi="Arial" w:cs="Arial"/>
          <w:sz w:val="24"/>
          <w:szCs w:val="24"/>
          <w:lang w:eastAsia="es-ES"/>
        </w:rPr>
        <w:t xml:space="preserve"> Laden y </w:t>
      </w:r>
      <w:proofErr w:type="spellStart"/>
      <w:r w:rsidRPr="00036762">
        <w:rPr>
          <w:rFonts w:ascii="Arial" w:eastAsia="Times New Roman" w:hAnsi="Arial" w:cs="Arial"/>
          <w:sz w:val="24"/>
          <w:szCs w:val="24"/>
          <w:lang w:eastAsia="es-ES"/>
        </w:rPr>
        <w:t>Aymán</w:t>
      </w:r>
      <w:proofErr w:type="spellEnd"/>
      <w:r w:rsidRPr="00036762">
        <w:rPr>
          <w:rFonts w:ascii="Arial" w:eastAsia="Times New Roman" w:hAnsi="Arial" w:cs="Arial"/>
          <w:sz w:val="24"/>
          <w:szCs w:val="24"/>
          <w:lang w:eastAsia="es-ES"/>
        </w:rPr>
        <w:t xml:space="preserve"> al </w:t>
      </w:r>
      <w:proofErr w:type="spellStart"/>
      <w:r w:rsidRPr="00036762">
        <w:rPr>
          <w:rFonts w:ascii="Arial" w:eastAsia="Times New Roman" w:hAnsi="Arial" w:cs="Arial"/>
          <w:sz w:val="24"/>
          <w:szCs w:val="24"/>
          <w:lang w:eastAsia="es-ES"/>
        </w:rPr>
        <w:t>Zawahirí</w:t>
      </w:r>
      <w:proofErr w:type="spellEnd"/>
      <w:r w:rsidRPr="00036762">
        <w:rPr>
          <w:rFonts w:ascii="Arial" w:eastAsia="Times New Roman" w:hAnsi="Arial" w:cs="Arial"/>
          <w:sz w:val="24"/>
          <w:szCs w:val="24"/>
          <w:lang w:eastAsia="es-ES"/>
        </w:rPr>
        <w:t xml:space="preserve"> –el guerrero y el ideólogo, como los caracteriza Bruce </w:t>
      </w:r>
      <w:proofErr w:type="spellStart"/>
      <w:r w:rsidRPr="00036762">
        <w:rPr>
          <w:rFonts w:ascii="Arial" w:eastAsia="Times New Roman" w:hAnsi="Arial" w:cs="Arial"/>
          <w:sz w:val="24"/>
          <w:szCs w:val="24"/>
          <w:lang w:eastAsia="es-ES"/>
        </w:rPr>
        <w:t>Riedel</w:t>
      </w:r>
      <w:proofErr w:type="spellEnd"/>
      <w:r w:rsidRPr="00036762">
        <w:rPr>
          <w:rFonts w:ascii="Arial" w:eastAsia="Times New Roman" w:hAnsi="Arial" w:cs="Arial"/>
          <w:sz w:val="24"/>
          <w:szCs w:val="24"/>
          <w:lang w:eastAsia="es-ES"/>
        </w:rPr>
        <w:t xml:space="preserve">– seguían emitiendo sus decretos religiosos, pero en el terreno no controlaban la situación. Así, pese a que la presencia militar estadounidense en Oriente Medio luego de la ocupación iraquí se percibió en un principio como una oportunidad de crecimiento y expansión, terminó creando y acelerando la </w:t>
      </w:r>
      <w:proofErr w:type="spellStart"/>
      <w:r w:rsidRPr="00036762">
        <w:rPr>
          <w:rFonts w:ascii="Arial" w:eastAsia="Times New Roman" w:hAnsi="Arial" w:cs="Arial"/>
          <w:sz w:val="24"/>
          <w:szCs w:val="24"/>
          <w:lang w:eastAsia="es-ES"/>
        </w:rPr>
        <w:t>sectarización</w:t>
      </w:r>
      <w:proofErr w:type="spellEnd"/>
      <w:r w:rsidRPr="00036762">
        <w:rPr>
          <w:rFonts w:ascii="Arial" w:eastAsia="Times New Roman" w:hAnsi="Arial" w:cs="Arial"/>
          <w:sz w:val="24"/>
          <w:szCs w:val="24"/>
          <w:lang w:eastAsia="es-ES"/>
        </w:rPr>
        <w:t xml:space="preserve"> de la política iraquí y el desencadenamiento de la guerra sunnita-chiita. Es en este contexto, como analiza </w:t>
      </w:r>
      <w:proofErr w:type="spellStart"/>
      <w:r w:rsidRPr="00036762">
        <w:rPr>
          <w:rFonts w:ascii="Arial" w:eastAsia="Times New Roman" w:hAnsi="Arial" w:cs="Arial"/>
          <w:sz w:val="24"/>
          <w:szCs w:val="24"/>
          <w:lang w:eastAsia="es-ES"/>
        </w:rPr>
        <w:t>Fawas</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Gerges</w:t>
      </w:r>
      <w:proofErr w:type="spellEnd"/>
      <w:r w:rsidRPr="00036762">
        <w:rPr>
          <w:rFonts w:ascii="Arial" w:eastAsia="Times New Roman" w:hAnsi="Arial" w:cs="Arial"/>
          <w:sz w:val="24"/>
          <w:szCs w:val="24"/>
          <w:lang w:eastAsia="es-ES"/>
        </w:rPr>
        <w:t xml:space="preserve">, en el que empieza la declinación y caída de Al Qaeda, sobre todo, evidentemente, tras el asesinato de </w:t>
      </w:r>
      <w:proofErr w:type="spellStart"/>
      <w:r w:rsidRPr="00036762">
        <w:rPr>
          <w:rFonts w:ascii="Arial" w:eastAsia="Times New Roman" w:hAnsi="Arial" w:cs="Arial"/>
          <w:sz w:val="24"/>
          <w:szCs w:val="24"/>
          <w:lang w:eastAsia="es-ES"/>
        </w:rPr>
        <w:t>Bin</w:t>
      </w:r>
      <w:proofErr w:type="spellEnd"/>
      <w:r w:rsidRPr="00036762">
        <w:rPr>
          <w:rFonts w:ascii="Arial" w:eastAsia="Times New Roman" w:hAnsi="Arial" w:cs="Arial"/>
          <w:sz w:val="24"/>
          <w:szCs w:val="24"/>
          <w:lang w:eastAsia="es-ES"/>
        </w:rPr>
        <w:t xml:space="preserve"> Laden el 1 de mayo de 2011.La irrupción del EI en junio de 2014 y su rápida expansión</w:t>
      </w:r>
      <w:r w:rsidR="00E0068B">
        <w:rPr>
          <w:rFonts w:ascii="Arial" w:hAnsi="Arial" w:cs="Arial"/>
          <w:sz w:val="24"/>
          <w:szCs w:val="24"/>
        </w:rPr>
        <w:t xml:space="preserve"> </w:t>
      </w:r>
      <w:r w:rsidRPr="00036762">
        <w:rPr>
          <w:rFonts w:ascii="Arial" w:eastAsia="Times New Roman" w:hAnsi="Arial" w:cs="Arial"/>
          <w:sz w:val="24"/>
          <w:szCs w:val="24"/>
          <w:lang w:eastAsia="es-ES"/>
        </w:rPr>
        <w:t xml:space="preserve">se caracterizaron por el atrevimiento mayor de su líder, Abu </w:t>
      </w:r>
      <w:proofErr w:type="spellStart"/>
      <w:r w:rsidRPr="00036762">
        <w:rPr>
          <w:rFonts w:ascii="Arial" w:eastAsia="Times New Roman" w:hAnsi="Arial" w:cs="Arial"/>
          <w:sz w:val="24"/>
          <w:szCs w:val="24"/>
          <w:lang w:eastAsia="es-ES"/>
        </w:rPr>
        <w:t>Bakr</w:t>
      </w:r>
      <w:proofErr w:type="spellEnd"/>
      <w:r w:rsidRPr="00036762">
        <w:rPr>
          <w:rFonts w:ascii="Arial" w:eastAsia="Times New Roman" w:hAnsi="Arial" w:cs="Arial"/>
          <w:sz w:val="24"/>
          <w:szCs w:val="24"/>
          <w:lang w:eastAsia="es-ES"/>
        </w:rPr>
        <w:t xml:space="preserve"> al </w:t>
      </w:r>
      <w:proofErr w:type="spellStart"/>
      <w:r w:rsidRPr="00036762">
        <w:rPr>
          <w:rFonts w:ascii="Arial" w:eastAsia="Times New Roman" w:hAnsi="Arial" w:cs="Arial"/>
          <w:sz w:val="24"/>
          <w:szCs w:val="24"/>
          <w:lang w:eastAsia="es-ES"/>
        </w:rPr>
        <w:t>Baghdadi</w:t>
      </w:r>
      <w:proofErr w:type="spellEnd"/>
      <w:r w:rsidRPr="00036762">
        <w:rPr>
          <w:rFonts w:ascii="Arial" w:eastAsia="Times New Roman" w:hAnsi="Arial" w:cs="Arial"/>
          <w:sz w:val="24"/>
          <w:szCs w:val="24"/>
          <w:lang w:eastAsia="es-ES"/>
        </w:rPr>
        <w:t xml:space="preserve">, de declararse Califa y exigir lealtad a todos los musulmanes y, al mismo tiempo, por la emergencia de un poder </w:t>
      </w:r>
      <w:proofErr w:type="spellStart"/>
      <w:r w:rsidRPr="00036762">
        <w:rPr>
          <w:rFonts w:ascii="Arial" w:eastAsia="Times New Roman" w:hAnsi="Arial" w:cs="Arial"/>
          <w:sz w:val="24"/>
          <w:szCs w:val="24"/>
          <w:lang w:eastAsia="es-ES"/>
        </w:rPr>
        <w:t>territorializado</w:t>
      </w:r>
      <w:proofErr w:type="spellEnd"/>
      <w:r w:rsidRPr="00036762">
        <w:rPr>
          <w:rFonts w:ascii="Arial" w:eastAsia="Times New Roman" w:hAnsi="Arial" w:cs="Arial"/>
          <w:sz w:val="24"/>
          <w:szCs w:val="24"/>
          <w:lang w:eastAsia="es-ES"/>
        </w:rPr>
        <w:t xml:space="preserve"> –a diferencia de Al Qaeda– dedicado a la limpieza étnica y religiosa</w:t>
      </w:r>
      <w:r w:rsidR="000979BE">
        <w:rPr>
          <w:rFonts w:ascii="Arial" w:hAnsi="Arial" w:cs="Arial"/>
          <w:sz w:val="24"/>
          <w:szCs w:val="24"/>
        </w:rPr>
        <w:t xml:space="preserve"> </w:t>
      </w:r>
      <w:r w:rsidRPr="00036762">
        <w:rPr>
          <w:rFonts w:ascii="Arial" w:eastAsia="Times New Roman" w:hAnsi="Arial" w:cs="Arial"/>
          <w:sz w:val="24"/>
          <w:szCs w:val="24"/>
          <w:lang w:eastAsia="es-ES"/>
        </w:rPr>
        <w:t xml:space="preserve">de las zonas </w:t>
      </w:r>
      <w:r w:rsidRPr="00036762">
        <w:rPr>
          <w:rFonts w:ascii="Arial" w:eastAsia="Times New Roman" w:hAnsi="Arial" w:cs="Arial"/>
          <w:sz w:val="24"/>
          <w:szCs w:val="24"/>
          <w:lang w:eastAsia="es-ES"/>
        </w:rPr>
        <w:lastRenderedPageBreak/>
        <w:t>bajo su dominación. Se impone una forma de gobierno que podría ser un modelo para su implementación gradual en todas las sociedades musulmanas sin siquiera la necesidad de derrocar regímenes autoritarios.</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Una (larga) guerra religiosa</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La evolución del islam sunnita en los tiempos modernos, desde su inicio como reacción a la secularización de fines del siglo XIX y principios del siglo XX hasta la proclamación del Califato por parte del EI, muestra que no se trata solo de una fuente de legitimación de un orden conservador, una reacción al auge del chiismo con la Revolución Islámica o una expresión de descontento político, social o económico, sino de una fuerza profunda de carácter religioso. Si no lo fuera, la perspectiva conceptual del análisis que pretende enfocar y resaltar la relación entre los pueblos como dinámica explicativa de las relaciones internacionales no tendría mucha relevancia. En este caso, por supuesto, por «pueblo» se entenderá los sunnitas y los chiitas, y no un sujeto más afín a una definición moderno-secular del término a modo de, por ejemplo, «Nosotros el pueblo…».</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En cuanto a la relación sunnita-chiita, la dinámica es mucho más violenta que los enfrentamientos de los nacionalismos que, al fin y al cabo, discutían el reparto territorial; no es el caso de las guerras religiosas, que por definición son guerras propias de los monoteísmos, como lo sostienen </w:t>
      </w:r>
      <w:proofErr w:type="spellStart"/>
      <w:r w:rsidRPr="00036762">
        <w:rPr>
          <w:rFonts w:ascii="Arial" w:eastAsia="Times New Roman" w:hAnsi="Arial" w:cs="Arial"/>
          <w:sz w:val="24"/>
          <w:szCs w:val="24"/>
          <w:lang w:eastAsia="es-ES"/>
        </w:rPr>
        <w:t>Elie</w:t>
      </w:r>
      <w:proofErr w:type="spellEnd"/>
      <w:r w:rsidRPr="00036762">
        <w:rPr>
          <w:rFonts w:ascii="Arial" w:eastAsia="Times New Roman" w:hAnsi="Arial" w:cs="Arial"/>
          <w:sz w:val="24"/>
          <w:szCs w:val="24"/>
          <w:lang w:eastAsia="es-ES"/>
        </w:rPr>
        <w:t xml:space="preserve"> </w:t>
      </w:r>
      <w:proofErr w:type="spellStart"/>
      <w:r w:rsidRPr="00036762">
        <w:rPr>
          <w:rFonts w:ascii="Arial" w:eastAsia="Times New Roman" w:hAnsi="Arial" w:cs="Arial"/>
          <w:sz w:val="24"/>
          <w:szCs w:val="24"/>
          <w:lang w:eastAsia="es-ES"/>
        </w:rPr>
        <w:t>Barnavi</w:t>
      </w:r>
      <w:proofErr w:type="spellEnd"/>
      <w:r w:rsidRPr="00036762">
        <w:rPr>
          <w:rFonts w:ascii="Arial" w:eastAsia="Times New Roman" w:hAnsi="Arial" w:cs="Arial"/>
          <w:sz w:val="24"/>
          <w:szCs w:val="24"/>
          <w:lang w:eastAsia="es-ES"/>
        </w:rPr>
        <w:t xml:space="preserve"> y Anthony </w:t>
      </w:r>
      <w:proofErr w:type="spellStart"/>
      <w:r w:rsidRPr="00036762">
        <w:rPr>
          <w:rFonts w:ascii="Arial" w:eastAsia="Times New Roman" w:hAnsi="Arial" w:cs="Arial"/>
          <w:sz w:val="24"/>
          <w:szCs w:val="24"/>
          <w:lang w:eastAsia="es-ES"/>
        </w:rPr>
        <w:t>Rowley</w:t>
      </w:r>
      <w:proofErr w:type="spellEnd"/>
      <w:r w:rsidRPr="00036762">
        <w:rPr>
          <w:rFonts w:ascii="Arial" w:eastAsia="Times New Roman" w:hAnsi="Arial" w:cs="Arial"/>
          <w:sz w:val="24"/>
          <w:szCs w:val="24"/>
          <w:lang w:eastAsia="es-ES"/>
        </w:rPr>
        <w:t>. Además, si bien las Cruzadas o el enfrentamiento entre hindúes y musulmanes reflejan el choque de dos religiones, el enfrentamiento es mucho más violento cuando acontece dentro de una misma religión. El antecedente histórico de la guerra sunnita-chiita es la Guerra de los Treinta Años (1618-1648), aunque se debería evitar cualquier conclusión acerca de un desenlace similar en cuanto al resultado.</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Es decir, si hay un consenso general en torno de la Paz de Westfalia que puso fin a la Guerra de los Treinta Años en 1648 e instaló el principio de la soberanía territorial, todavía es muy pronto para concluir adónde llevaría el enfrentamiento </w:t>
      </w:r>
      <w:proofErr w:type="spellStart"/>
      <w:r w:rsidRPr="00036762">
        <w:rPr>
          <w:rFonts w:ascii="Arial" w:eastAsia="Times New Roman" w:hAnsi="Arial" w:cs="Arial"/>
          <w:sz w:val="24"/>
          <w:szCs w:val="24"/>
          <w:lang w:eastAsia="es-ES"/>
        </w:rPr>
        <w:t>intraislámico</w:t>
      </w:r>
      <w:proofErr w:type="spellEnd"/>
      <w:r w:rsidRPr="00036762">
        <w:rPr>
          <w:rFonts w:ascii="Arial" w:eastAsia="Times New Roman" w:hAnsi="Arial" w:cs="Arial"/>
          <w:sz w:val="24"/>
          <w:szCs w:val="24"/>
          <w:lang w:eastAsia="es-ES"/>
        </w:rPr>
        <w:t xml:space="preserve">. De hecho, es el mismo principio de soberanía territorial lo que el EI está cuestionando con su aspiración a la reunificación de la </w:t>
      </w:r>
      <w:proofErr w:type="spellStart"/>
      <w:r w:rsidRPr="00036762">
        <w:rPr>
          <w:rFonts w:ascii="Arial" w:eastAsia="Times New Roman" w:hAnsi="Arial" w:cs="Arial"/>
          <w:sz w:val="24"/>
          <w:szCs w:val="24"/>
          <w:lang w:eastAsia="es-ES"/>
        </w:rPr>
        <w:t>Umma</w:t>
      </w:r>
      <w:proofErr w:type="spellEnd"/>
      <w:r w:rsidRPr="00036762">
        <w:rPr>
          <w:rFonts w:ascii="Arial" w:eastAsia="Times New Roman" w:hAnsi="Arial" w:cs="Arial"/>
          <w:sz w:val="24"/>
          <w:szCs w:val="24"/>
          <w:lang w:eastAsia="es-ES"/>
        </w:rPr>
        <w:t xml:space="preserve"> por encima de las fronteras nacionales y la restauración del Califato; y nunca se sabe bien si la decisión de </w:t>
      </w:r>
      <w:proofErr w:type="spellStart"/>
      <w:r w:rsidRPr="00036762">
        <w:rPr>
          <w:rFonts w:ascii="Arial" w:eastAsia="Times New Roman" w:hAnsi="Arial" w:cs="Arial"/>
          <w:sz w:val="24"/>
          <w:szCs w:val="24"/>
          <w:lang w:eastAsia="es-ES"/>
        </w:rPr>
        <w:t>Hezbolá</w:t>
      </w:r>
      <w:proofErr w:type="spellEnd"/>
      <w:r w:rsidRPr="00036762">
        <w:rPr>
          <w:rFonts w:ascii="Arial" w:eastAsia="Times New Roman" w:hAnsi="Arial" w:cs="Arial"/>
          <w:sz w:val="24"/>
          <w:szCs w:val="24"/>
          <w:lang w:eastAsia="es-ES"/>
        </w:rPr>
        <w:t xml:space="preserve"> en 1989 de insertarse en el sistema libanés significó su </w:t>
      </w:r>
      <w:proofErr w:type="spellStart"/>
      <w:r w:rsidRPr="00036762">
        <w:rPr>
          <w:rFonts w:ascii="Arial" w:eastAsia="Times New Roman" w:hAnsi="Arial" w:cs="Arial"/>
          <w:sz w:val="24"/>
          <w:szCs w:val="24"/>
          <w:lang w:eastAsia="es-ES"/>
        </w:rPr>
        <w:t>libanización</w:t>
      </w:r>
      <w:proofErr w:type="spellEnd"/>
      <w:r w:rsidRPr="00036762">
        <w:rPr>
          <w:rFonts w:ascii="Arial" w:eastAsia="Times New Roman" w:hAnsi="Arial" w:cs="Arial"/>
          <w:sz w:val="24"/>
          <w:szCs w:val="24"/>
          <w:lang w:eastAsia="es-ES"/>
        </w:rPr>
        <w:t xml:space="preserve">, o si una visión milenarista del regreso de </w:t>
      </w:r>
      <w:proofErr w:type="spellStart"/>
      <w:r w:rsidRPr="00036762">
        <w:rPr>
          <w:rFonts w:ascii="Arial" w:eastAsia="Times New Roman" w:hAnsi="Arial" w:cs="Arial"/>
          <w:sz w:val="24"/>
          <w:szCs w:val="24"/>
          <w:lang w:eastAsia="es-ES"/>
        </w:rPr>
        <w:t>Mahdi</w:t>
      </w:r>
      <w:proofErr w:type="spellEnd"/>
      <w:r w:rsidRPr="00036762">
        <w:rPr>
          <w:rFonts w:ascii="Arial" w:eastAsia="Times New Roman" w:hAnsi="Arial" w:cs="Arial"/>
          <w:sz w:val="24"/>
          <w:szCs w:val="24"/>
          <w:lang w:eastAsia="es-ES"/>
        </w:rPr>
        <w:t xml:space="preserve"> es la verdadera motivación detrás del mantenimiento de su poderoso aparato paramilitar… Más aún, si en el campo chiita Irán sirve como referencia y, por lo tanto, como polo unificador, la lucha por el poder dentro del campo sunnita radical es visible en la competencia y el enfrentamiento entre el EI y Al Qaeda –o sus remanentes– para ganar la lealtad de todos los </w:t>
      </w:r>
      <w:proofErr w:type="spellStart"/>
      <w:r w:rsidRPr="00036762">
        <w:rPr>
          <w:rFonts w:ascii="Arial" w:eastAsia="Times New Roman" w:hAnsi="Arial" w:cs="Arial"/>
          <w:sz w:val="24"/>
          <w:szCs w:val="24"/>
          <w:lang w:eastAsia="es-ES"/>
        </w:rPr>
        <w:t>yihadistas</w:t>
      </w:r>
      <w:proofErr w:type="spellEnd"/>
      <w:r w:rsidRPr="00036762">
        <w:rPr>
          <w:rFonts w:ascii="Arial" w:eastAsia="Times New Roman" w:hAnsi="Arial" w:cs="Arial"/>
          <w:sz w:val="24"/>
          <w:szCs w:val="24"/>
          <w:lang w:eastAsia="es-ES"/>
        </w:rPr>
        <w:t xml:space="preserve">. En otras palabras: la guerra </w:t>
      </w:r>
      <w:proofErr w:type="spellStart"/>
      <w:r w:rsidRPr="00036762">
        <w:rPr>
          <w:rFonts w:ascii="Arial" w:eastAsia="Times New Roman" w:hAnsi="Arial" w:cs="Arial"/>
          <w:sz w:val="24"/>
          <w:szCs w:val="24"/>
          <w:lang w:eastAsia="es-ES"/>
        </w:rPr>
        <w:t>intraislámica</w:t>
      </w:r>
      <w:proofErr w:type="spellEnd"/>
      <w:r w:rsidRPr="00036762">
        <w:rPr>
          <w:rFonts w:ascii="Arial" w:eastAsia="Times New Roman" w:hAnsi="Arial" w:cs="Arial"/>
          <w:sz w:val="24"/>
          <w:szCs w:val="24"/>
          <w:lang w:eastAsia="es-ES"/>
        </w:rPr>
        <w:t xml:space="preserve"> está lejos aún de configurar una geopolítica de conflicto de dos campos enfrentados con claros liderazgos referenciales; no obstante, es la fuerza profunda de carácter religioso lo que determina la dinámica del conflicto.</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Un problema estatal: los dilemas del balance de poder</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lastRenderedPageBreak/>
        <w:t xml:space="preserve">El primer dilema es la racionalidad de una alianza entre Irán y EEUU para enfrentar al EI y derrocarlo, y la percepción de amenaza que esa alianza significa para los aliados de Washington –Turquía y las monarquías del Golfo–, para quienes la contención de Irán y la influencia chiita es prioritaria. El corolario inmediato de este dilema es el caso de Siria, donde EEUU y sus aliados europeos aspiran al derrocamiento del régimen de </w:t>
      </w:r>
      <w:proofErr w:type="spellStart"/>
      <w:r w:rsidRPr="00036762">
        <w:rPr>
          <w:rFonts w:ascii="Arial" w:eastAsia="Times New Roman" w:hAnsi="Arial" w:cs="Arial"/>
          <w:sz w:val="24"/>
          <w:szCs w:val="24"/>
          <w:lang w:eastAsia="es-ES"/>
        </w:rPr>
        <w:t>Bashar</w:t>
      </w:r>
      <w:proofErr w:type="spellEnd"/>
      <w:r w:rsidRPr="00036762">
        <w:rPr>
          <w:rFonts w:ascii="Arial" w:eastAsia="Times New Roman" w:hAnsi="Arial" w:cs="Arial"/>
          <w:sz w:val="24"/>
          <w:szCs w:val="24"/>
          <w:lang w:eastAsia="es-ES"/>
        </w:rPr>
        <w:t xml:space="preserve"> al Asad, pero saben muy bien que la oposición secular a la que pretenden armar es un engaño, y que el campo de batalla lo dominan los militantes islamistas seguidores del EI o de Al Qaeda.</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La perspectiva de una alianza de Irán con EEUU es un segundo dilema, casi un espejismo: ¿hasta dónde Irán puede ignorar la fuerza profunda de la guerra sunnita-chiita para dejar de intervenir en un conflicto que amenaza su existencia misma? En otras palabras: ¿puede confiar Irán una supuesta derrota del EI exclusivamente a EEUU y sus aliados sunnitas en la región?</w:t>
      </w:r>
    </w:p>
    <w:p w:rsidR="00AC387D" w:rsidRPr="00036762" w:rsidRDefault="00AC387D" w:rsidP="00E82DB8">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El tercer dilema, finalmente, lo plantean las monarquías del Golfo y Turquía, cuya legitimidad de gobierno, dinástica o democrática, se basa en su visión fuertemente anclada en el islam sunnita: si bien el EI sería un peligro para ellos también, no pueden negarle simpatía, apoyo moral y facilitación de logística y armamento tanto para la contención de Irán como por puros motivos de alineamiento religioso en la guerra sunnita-chiita.</w:t>
      </w:r>
    </w:p>
    <w:p w:rsidR="00AC387D" w:rsidRPr="00036762" w:rsidRDefault="00AC387D" w:rsidP="0089566D">
      <w:pPr>
        <w:spacing w:before="100" w:beforeAutospacing="1" w:after="100" w:afterAutospacing="1" w:line="240" w:lineRule="auto"/>
        <w:jc w:val="both"/>
        <w:rPr>
          <w:rFonts w:ascii="Arial" w:eastAsia="Times New Roman" w:hAnsi="Arial" w:cs="Arial"/>
          <w:sz w:val="24"/>
          <w:szCs w:val="24"/>
          <w:lang w:eastAsia="es-ES"/>
        </w:rPr>
      </w:pPr>
      <w:r w:rsidRPr="00036762">
        <w:rPr>
          <w:rFonts w:ascii="Arial" w:eastAsia="Times New Roman" w:hAnsi="Arial" w:cs="Arial"/>
          <w:sz w:val="24"/>
          <w:szCs w:val="24"/>
          <w:lang w:eastAsia="es-ES"/>
        </w:rPr>
        <w:t xml:space="preserve">La grieta </w:t>
      </w:r>
      <w:proofErr w:type="spellStart"/>
      <w:r w:rsidRPr="00036762">
        <w:rPr>
          <w:rFonts w:ascii="Arial" w:eastAsia="Times New Roman" w:hAnsi="Arial" w:cs="Arial"/>
          <w:sz w:val="24"/>
          <w:szCs w:val="24"/>
          <w:lang w:eastAsia="es-ES"/>
        </w:rPr>
        <w:t>intraislámica</w:t>
      </w:r>
      <w:proofErr w:type="spellEnd"/>
      <w:r w:rsidRPr="00036762">
        <w:rPr>
          <w:rFonts w:ascii="Arial" w:eastAsia="Times New Roman" w:hAnsi="Arial" w:cs="Arial"/>
          <w:sz w:val="24"/>
          <w:szCs w:val="24"/>
          <w:lang w:eastAsia="es-ES"/>
        </w:rPr>
        <w:t xml:space="preserve"> persistirá por un tiempo previsiblemente largo como fuente de conflictos no siempre fáciles de entender y/o resolver en la pura lógica de alianzas interestatales; y cualquier política de balance de poder se enfrentará con estos dilemas persistentes.</w:t>
      </w:r>
      <w:r w:rsidRPr="00036762">
        <w:rPr>
          <w:rFonts w:ascii="Arial" w:eastAsia="Times New Roman" w:hAnsi="Arial" w:cs="Arial"/>
          <w:sz w:val="24"/>
          <w:szCs w:val="24"/>
          <w:lang w:eastAsia="es-ES"/>
        </w:rPr>
        <w:fldChar w:fldCharType="begin"/>
      </w:r>
      <w:r w:rsidRPr="00036762">
        <w:rPr>
          <w:rFonts w:ascii="Arial" w:eastAsia="Times New Roman" w:hAnsi="Arial" w:cs="Arial"/>
          <w:sz w:val="24"/>
          <w:szCs w:val="24"/>
          <w:lang w:eastAsia="es-ES"/>
        </w:rPr>
        <w:instrText xml:space="preserve"> HYPERLINK "https://nuso.org/articulo/acuerdo-emiratos-arabes-e-israel-el-triunfo-del-statu-quo/" \o "El triunfo del statu quo  Las razones del acuerdo entre Emiratos Árabes e Israel" </w:instrText>
      </w:r>
      <w:r w:rsidRPr="00036762">
        <w:rPr>
          <w:rFonts w:ascii="Arial" w:eastAsia="Times New Roman" w:hAnsi="Arial" w:cs="Arial"/>
          <w:sz w:val="24"/>
          <w:szCs w:val="24"/>
          <w:lang w:eastAsia="es-ES"/>
        </w:rPr>
        <w:fldChar w:fldCharType="separate"/>
      </w:r>
    </w:p>
    <w:p w:rsidR="0089566D" w:rsidRDefault="00AC387D" w:rsidP="0089566D">
      <w:pPr>
        <w:spacing w:after="0" w:line="240" w:lineRule="auto"/>
        <w:jc w:val="both"/>
      </w:pPr>
      <w:r w:rsidRPr="00036762">
        <w:rPr>
          <w:rFonts w:ascii="Arial" w:eastAsia="Times New Roman" w:hAnsi="Arial" w:cs="Arial"/>
          <w:sz w:val="24"/>
          <w:szCs w:val="24"/>
          <w:lang w:eastAsia="es-ES"/>
        </w:rPr>
        <w:fldChar w:fldCharType="end"/>
      </w:r>
    </w:p>
    <w:p w:rsidR="00E62425" w:rsidRPr="0089566D" w:rsidRDefault="0089566D" w:rsidP="0089566D">
      <w:pPr>
        <w:spacing w:after="0" w:line="240" w:lineRule="auto"/>
        <w:jc w:val="both"/>
        <w:rPr>
          <w:rFonts w:ascii="Arial" w:eastAsia="Times New Roman" w:hAnsi="Arial" w:cs="Arial"/>
          <w:sz w:val="24"/>
          <w:szCs w:val="24"/>
          <w:lang w:eastAsia="es-ES"/>
        </w:rPr>
      </w:pPr>
      <w:hyperlink r:id="rId6" w:history="1">
        <w:r w:rsidRPr="00AD5F4B">
          <w:rPr>
            <w:rStyle w:val="Hipervnculo"/>
            <w:rFonts w:ascii="Arial" w:hAnsi="Arial" w:cs="Arial"/>
            <w:sz w:val="24"/>
            <w:szCs w:val="24"/>
          </w:rPr>
          <w:t>https://nuso.org/articulo/chiitas-y-sunitas-grietas-y-guerras-en-el-siglo-xxi/</w:t>
        </w:r>
      </w:hyperlink>
      <w:r>
        <w:rPr>
          <w:rStyle w:val="Hipervnculo"/>
          <w:rFonts w:ascii="Arial" w:hAnsi="Arial" w:cs="Arial"/>
          <w:color w:val="auto"/>
          <w:sz w:val="24"/>
          <w:szCs w:val="24"/>
          <w:u w:val="none"/>
        </w:rPr>
        <w:t xml:space="preserve"> </w:t>
      </w:r>
      <w:bookmarkStart w:id="0" w:name="_GoBack"/>
      <w:bookmarkEnd w:id="0"/>
      <w:r>
        <w:rPr>
          <w:rStyle w:val="Hipervnculo"/>
          <w:rFonts w:ascii="Arial" w:hAnsi="Arial" w:cs="Arial"/>
          <w:color w:val="auto"/>
          <w:sz w:val="24"/>
          <w:szCs w:val="24"/>
          <w:u w:val="none"/>
        </w:rPr>
        <w:t xml:space="preserve"> </w:t>
      </w:r>
      <w:r w:rsidR="00AC387D" w:rsidRPr="00036762">
        <w:rPr>
          <w:rFonts w:ascii="Arial" w:hAnsi="Arial" w:cs="Arial"/>
          <w:sz w:val="24"/>
          <w:szCs w:val="24"/>
        </w:rPr>
        <w:t xml:space="preserve"> </w:t>
      </w:r>
    </w:p>
    <w:sectPr w:rsidR="00E62425" w:rsidRPr="0089566D"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4B12DA"/>
    <w:multiLevelType w:val="multilevel"/>
    <w:tmpl w:val="D004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E8"/>
    <w:rsid w:val="00036762"/>
    <w:rsid w:val="00042E31"/>
    <w:rsid w:val="00092CD7"/>
    <w:rsid w:val="000979BE"/>
    <w:rsid w:val="000F7BBD"/>
    <w:rsid w:val="00135367"/>
    <w:rsid w:val="001526DD"/>
    <w:rsid w:val="001D01FD"/>
    <w:rsid w:val="00257A7F"/>
    <w:rsid w:val="002F24F7"/>
    <w:rsid w:val="00307D28"/>
    <w:rsid w:val="00333763"/>
    <w:rsid w:val="003D2261"/>
    <w:rsid w:val="004D60C5"/>
    <w:rsid w:val="00562A1B"/>
    <w:rsid w:val="00586924"/>
    <w:rsid w:val="006B789C"/>
    <w:rsid w:val="007B05C2"/>
    <w:rsid w:val="007D6441"/>
    <w:rsid w:val="007E1BFA"/>
    <w:rsid w:val="007F0124"/>
    <w:rsid w:val="0089566D"/>
    <w:rsid w:val="008C07E4"/>
    <w:rsid w:val="00903B4E"/>
    <w:rsid w:val="0099386F"/>
    <w:rsid w:val="009C7B5F"/>
    <w:rsid w:val="009E75F1"/>
    <w:rsid w:val="00A21639"/>
    <w:rsid w:val="00A21D44"/>
    <w:rsid w:val="00A2759E"/>
    <w:rsid w:val="00A57AF5"/>
    <w:rsid w:val="00AA7F3B"/>
    <w:rsid w:val="00AC387D"/>
    <w:rsid w:val="00AD3367"/>
    <w:rsid w:val="00AE7AA5"/>
    <w:rsid w:val="00B337CD"/>
    <w:rsid w:val="00BC11C6"/>
    <w:rsid w:val="00BD1864"/>
    <w:rsid w:val="00C37BCB"/>
    <w:rsid w:val="00C53736"/>
    <w:rsid w:val="00C574D6"/>
    <w:rsid w:val="00CC115B"/>
    <w:rsid w:val="00CC1241"/>
    <w:rsid w:val="00CD1E91"/>
    <w:rsid w:val="00CF331A"/>
    <w:rsid w:val="00D1465D"/>
    <w:rsid w:val="00D31BE7"/>
    <w:rsid w:val="00D745A9"/>
    <w:rsid w:val="00DA6BBC"/>
    <w:rsid w:val="00E0068B"/>
    <w:rsid w:val="00E30DE8"/>
    <w:rsid w:val="00E62425"/>
    <w:rsid w:val="00E82DB8"/>
    <w:rsid w:val="00ED2C81"/>
    <w:rsid w:val="00F35C08"/>
    <w:rsid w:val="00FA154B"/>
    <w:rsid w:val="00FA3F7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70BA30-F5F9-4E43-9DB8-9E59A16AE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AC38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159999">
      <w:bodyDiv w:val="1"/>
      <w:marLeft w:val="0"/>
      <w:marRight w:val="0"/>
      <w:marTop w:val="0"/>
      <w:marBottom w:val="0"/>
      <w:divBdr>
        <w:top w:val="none" w:sz="0" w:space="0" w:color="auto"/>
        <w:left w:val="none" w:sz="0" w:space="0" w:color="auto"/>
        <w:bottom w:val="none" w:sz="0" w:space="0" w:color="auto"/>
        <w:right w:val="none" w:sz="0" w:space="0" w:color="auto"/>
      </w:divBdr>
      <w:divsChild>
        <w:div w:id="559948778">
          <w:marLeft w:val="0"/>
          <w:marRight w:val="0"/>
          <w:marTop w:val="0"/>
          <w:marBottom w:val="0"/>
          <w:divBdr>
            <w:top w:val="none" w:sz="0" w:space="0" w:color="auto"/>
            <w:left w:val="none" w:sz="0" w:space="0" w:color="auto"/>
            <w:bottom w:val="none" w:sz="0" w:space="0" w:color="auto"/>
            <w:right w:val="none" w:sz="0" w:space="0" w:color="auto"/>
          </w:divBdr>
          <w:divsChild>
            <w:div w:id="2131048099">
              <w:marLeft w:val="0"/>
              <w:marRight w:val="0"/>
              <w:marTop w:val="0"/>
              <w:marBottom w:val="0"/>
              <w:divBdr>
                <w:top w:val="none" w:sz="0" w:space="0" w:color="auto"/>
                <w:left w:val="none" w:sz="0" w:space="0" w:color="auto"/>
                <w:bottom w:val="none" w:sz="0" w:space="0" w:color="auto"/>
                <w:right w:val="none" w:sz="0" w:space="0" w:color="auto"/>
              </w:divBdr>
              <w:divsChild>
                <w:div w:id="1751657198">
                  <w:marLeft w:val="0"/>
                  <w:marRight w:val="0"/>
                  <w:marTop w:val="0"/>
                  <w:marBottom w:val="0"/>
                  <w:divBdr>
                    <w:top w:val="none" w:sz="0" w:space="0" w:color="auto"/>
                    <w:left w:val="none" w:sz="0" w:space="0" w:color="auto"/>
                    <w:bottom w:val="none" w:sz="0" w:space="0" w:color="auto"/>
                    <w:right w:val="none" w:sz="0" w:space="0" w:color="auto"/>
                  </w:divBdr>
                  <w:divsChild>
                    <w:div w:id="129776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738847">
          <w:marLeft w:val="0"/>
          <w:marRight w:val="0"/>
          <w:marTop w:val="0"/>
          <w:marBottom w:val="0"/>
          <w:divBdr>
            <w:top w:val="none" w:sz="0" w:space="0" w:color="auto"/>
            <w:left w:val="none" w:sz="0" w:space="0" w:color="auto"/>
            <w:bottom w:val="none" w:sz="0" w:space="0" w:color="auto"/>
            <w:right w:val="none" w:sz="0" w:space="0" w:color="auto"/>
          </w:divBdr>
          <w:divsChild>
            <w:div w:id="1478449495">
              <w:marLeft w:val="0"/>
              <w:marRight w:val="0"/>
              <w:marTop w:val="0"/>
              <w:marBottom w:val="0"/>
              <w:divBdr>
                <w:top w:val="none" w:sz="0" w:space="0" w:color="auto"/>
                <w:left w:val="none" w:sz="0" w:space="0" w:color="auto"/>
                <w:bottom w:val="none" w:sz="0" w:space="0" w:color="auto"/>
                <w:right w:val="none" w:sz="0" w:space="0" w:color="auto"/>
              </w:divBdr>
            </w:div>
          </w:divsChild>
        </w:div>
        <w:div w:id="1124495474">
          <w:marLeft w:val="0"/>
          <w:marRight w:val="0"/>
          <w:marTop w:val="0"/>
          <w:marBottom w:val="0"/>
          <w:divBdr>
            <w:top w:val="none" w:sz="0" w:space="0" w:color="auto"/>
            <w:left w:val="none" w:sz="0" w:space="0" w:color="auto"/>
            <w:bottom w:val="none" w:sz="0" w:space="0" w:color="auto"/>
            <w:right w:val="none" w:sz="0" w:space="0" w:color="auto"/>
          </w:divBdr>
        </w:div>
        <w:div w:id="297734303">
          <w:marLeft w:val="0"/>
          <w:marRight w:val="0"/>
          <w:marTop w:val="0"/>
          <w:marBottom w:val="0"/>
          <w:divBdr>
            <w:top w:val="none" w:sz="0" w:space="0" w:color="auto"/>
            <w:left w:val="none" w:sz="0" w:space="0" w:color="auto"/>
            <w:bottom w:val="none" w:sz="0" w:space="0" w:color="auto"/>
            <w:right w:val="none" w:sz="0" w:space="0" w:color="auto"/>
          </w:divBdr>
          <w:divsChild>
            <w:div w:id="2093626459">
              <w:marLeft w:val="0"/>
              <w:marRight w:val="0"/>
              <w:marTop w:val="0"/>
              <w:marBottom w:val="0"/>
              <w:divBdr>
                <w:top w:val="none" w:sz="0" w:space="0" w:color="auto"/>
                <w:left w:val="none" w:sz="0" w:space="0" w:color="auto"/>
                <w:bottom w:val="none" w:sz="0" w:space="0" w:color="auto"/>
                <w:right w:val="none" w:sz="0" w:space="0" w:color="auto"/>
              </w:divBdr>
              <w:divsChild>
                <w:div w:id="755786592">
                  <w:marLeft w:val="0"/>
                  <w:marRight w:val="0"/>
                  <w:marTop w:val="0"/>
                  <w:marBottom w:val="0"/>
                  <w:divBdr>
                    <w:top w:val="none" w:sz="0" w:space="0" w:color="auto"/>
                    <w:left w:val="none" w:sz="0" w:space="0" w:color="auto"/>
                    <w:bottom w:val="none" w:sz="0" w:space="0" w:color="auto"/>
                    <w:right w:val="none" w:sz="0" w:space="0" w:color="auto"/>
                  </w:divBdr>
                  <w:divsChild>
                    <w:div w:id="1761876252">
                      <w:marLeft w:val="0"/>
                      <w:marRight w:val="0"/>
                      <w:marTop w:val="0"/>
                      <w:marBottom w:val="0"/>
                      <w:divBdr>
                        <w:top w:val="none" w:sz="0" w:space="0" w:color="auto"/>
                        <w:left w:val="none" w:sz="0" w:space="0" w:color="auto"/>
                        <w:bottom w:val="none" w:sz="0" w:space="0" w:color="auto"/>
                        <w:right w:val="none" w:sz="0" w:space="0" w:color="auto"/>
                      </w:divBdr>
                    </w:div>
                    <w:div w:id="615647310">
                      <w:marLeft w:val="0"/>
                      <w:marRight w:val="0"/>
                      <w:marTop w:val="0"/>
                      <w:marBottom w:val="0"/>
                      <w:divBdr>
                        <w:top w:val="none" w:sz="0" w:space="0" w:color="auto"/>
                        <w:left w:val="none" w:sz="0" w:space="0" w:color="auto"/>
                        <w:bottom w:val="none" w:sz="0" w:space="0" w:color="auto"/>
                        <w:right w:val="none" w:sz="0" w:space="0" w:color="auto"/>
                      </w:divBdr>
                      <w:divsChild>
                        <w:div w:id="1468621872">
                          <w:marLeft w:val="0"/>
                          <w:marRight w:val="0"/>
                          <w:marTop w:val="0"/>
                          <w:marBottom w:val="0"/>
                          <w:divBdr>
                            <w:top w:val="none" w:sz="0" w:space="0" w:color="auto"/>
                            <w:left w:val="none" w:sz="0" w:space="0" w:color="auto"/>
                            <w:bottom w:val="none" w:sz="0" w:space="0" w:color="auto"/>
                            <w:right w:val="none" w:sz="0" w:space="0" w:color="auto"/>
                          </w:divBdr>
                          <w:divsChild>
                            <w:div w:id="721027905">
                              <w:marLeft w:val="0"/>
                              <w:marRight w:val="0"/>
                              <w:marTop w:val="0"/>
                              <w:marBottom w:val="0"/>
                              <w:divBdr>
                                <w:top w:val="none" w:sz="0" w:space="0" w:color="auto"/>
                                <w:left w:val="none" w:sz="0" w:space="0" w:color="auto"/>
                                <w:bottom w:val="none" w:sz="0" w:space="0" w:color="auto"/>
                                <w:right w:val="none" w:sz="0" w:space="0" w:color="auto"/>
                              </w:divBdr>
                              <w:divsChild>
                                <w:div w:id="1067847439">
                                  <w:marLeft w:val="0"/>
                                  <w:marRight w:val="0"/>
                                  <w:marTop w:val="0"/>
                                  <w:marBottom w:val="0"/>
                                  <w:divBdr>
                                    <w:top w:val="none" w:sz="0" w:space="0" w:color="auto"/>
                                    <w:left w:val="none" w:sz="0" w:space="0" w:color="auto"/>
                                    <w:bottom w:val="none" w:sz="0" w:space="0" w:color="auto"/>
                                    <w:right w:val="none" w:sz="0" w:space="0" w:color="auto"/>
                                  </w:divBdr>
                                  <w:divsChild>
                                    <w:div w:id="158883992">
                                      <w:marLeft w:val="0"/>
                                      <w:marRight w:val="0"/>
                                      <w:marTop w:val="0"/>
                                      <w:marBottom w:val="0"/>
                                      <w:divBdr>
                                        <w:top w:val="none" w:sz="0" w:space="0" w:color="auto"/>
                                        <w:left w:val="none" w:sz="0" w:space="0" w:color="auto"/>
                                        <w:bottom w:val="none" w:sz="0" w:space="0" w:color="auto"/>
                                        <w:right w:val="none" w:sz="0" w:space="0" w:color="auto"/>
                                      </w:divBdr>
                                      <w:divsChild>
                                        <w:div w:id="13542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229">
                                  <w:marLeft w:val="0"/>
                                  <w:marRight w:val="0"/>
                                  <w:marTop w:val="0"/>
                                  <w:marBottom w:val="0"/>
                                  <w:divBdr>
                                    <w:top w:val="none" w:sz="0" w:space="0" w:color="auto"/>
                                    <w:left w:val="none" w:sz="0" w:space="0" w:color="auto"/>
                                    <w:bottom w:val="none" w:sz="0" w:space="0" w:color="auto"/>
                                    <w:right w:val="none" w:sz="0" w:space="0" w:color="auto"/>
                                  </w:divBdr>
                                  <w:divsChild>
                                    <w:div w:id="1854801647">
                                      <w:marLeft w:val="0"/>
                                      <w:marRight w:val="0"/>
                                      <w:marTop w:val="0"/>
                                      <w:marBottom w:val="0"/>
                                      <w:divBdr>
                                        <w:top w:val="none" w:sz="0" w:space="0" w:color="auto"/>
                                        <w:left w:val="none" w:sz="0" w:space="0" w:color="auto"/>
                                        <w:bottom w:val="none" w:sz="0" w:space="0" w:color="auto"/>
                                        <w:right w:val="none" w:sz="0" w:space="0" w:color="auto"/>
                                      </w:divBdr>
                                      <w:divsChild>
                                        <w:div w:id="161718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814211">
                                  <w:marLeft w:val="0"/>
                                  <w:marRight w:val="0"/>
                                  <w:marTop w:val="0"/>
                                  <w:marBottom w:val="0"/>
                                  <w:divBdr>
                                    <w:top w:val="none" w:sz="0" w:space="0" w:color="auto"/>
                                    <w:left w:val="none" w:sz="0" w:space="0" w:color="auto"/>
                                    <w:bottom w:val="none" w:sz="0" w:space="0" w:color="auto"/>
                                    <w:right w:val="none" w:sz="0" w:space="0" w:color="auto"/>
                                  </w:divBdr>
                                  <w:divsChild>
                                    <w:div w:id="835415991">
                                      <w:marLeft w:val="0"/>
                                      <w:marRight w:val="0"/>
                                      <w:marTop w:val="0"/>
                                      <w:marBottom w:val="0"/>
                                      <w:divBdr>
                                        <w:top w:val="none" w:sz="0" w:space="0" w:color="auto"/>
                                        <w:left w:val="none" w:sz="0" w:space="0" w:color="auto"/>
                                        <w:bottom w:val="none" w:sz="0" w:space="0" w:color="auto"/>
                                        <w:right w:val="none" w:sz="0" w:space="0" w:color="auto"/>
                                      </w:divBdr>
                                      <w:divsChild>
                                        <w:div w:id="22992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491083">
                                  <w:marLeft w:val="0"/>
                                  <w:marRight w:val="0"/>
                                  <w:marTop w:val="0"/>
                                  <w:marBottom w:val="0"/>
                                  <w:divBdr>
                                    <w:top w:val="none" w:sz="0" w:space="0" w:color="auto"/>
                                    <w:left w:val="none" w:sz="0" w:space="0" w:color="auto"/>
                                    <w:bottom w:val="none" w:sz="0" w:space="0" w:color="auto"/>
                                    <w:right w:val="none" w:sz="0" w:space="0" w:color="auto"/>
                                  </w:divBdr>
                                  <w:divsChild>
                                    <w:div w:id="834611512">
                                      <w:marLeft w:val="0"/>
                                      <w:marRight w:val="0"/>
                                      <w:marTop w:val="0"/>
                                      <w:marBottom w:val="0"/>
                                      <w:divBdr>
                                        <w:top w:val="none" w:sz="0" w:space="0" w:color="auto"/>
                                        <w:left w:val="none" w:sz="0" w:space="0" w:color="auto"/>
                                        <w:bottom w:val="none" w:sz="0" w:space="0" w:color="auto"/>
                                        <w:right w:val="none" w:sz="0" w:space="0" w:color="auto"/>
                                      </w:divBdr>
                                      <w:divsChild>
                                        <w:div w:id="206833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586412">
                                  <w:marLeft w:val="0"/>
                                  <w:marRight w:val="0"/>
                                  <w:marTop w:val="0"/>
                                  <w:marBottom w:val="0"/>
                                  <w:divBdr>
                                    <w:top w:val="none" w:sz="0" w:space="0" w:color="auto"/>
                                    <w:left w:val="none" w:sz="0" w:space="0" w:color="auto"/>
                                    <w:bottom w:val="none" w:sz="0" w:space="0" w:color="auto"/>
                                    <w:right w:val="none" w:sz="0" w:space="0" w:color="auto"/>
                                  </w:divBdr>
                                  <w:divsChild>
                                    <w:div w:id="1203709036">
                                      <w:marLeft w:val="0"/>
                                      <w:marRight w:val="0"/>
                                      <w:marTop w:val="0"/>
                                      <w:marBottom w:val="0"/>
                                      <w:divBdr>
                                        <w:top w:val="none" w:sz="0" w:space="0" w:color="auto"/>
                                        <w:left w:val="none" w:sz="0" w:space="0" w:color="auto"/>
                                        <w:bottom w:val="none" w:sz="0" w:space="0" w:color="auto"/>
                                        <w:right w:val="none" w:sz="0" w:space="0" w:color="auto"/>
                                      </w:divBdr>
                                      <w:divsChild>
                                        <w:div w:id="197154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7738458">
          <w:marLeft w:val="0"/>
          <w:marRight w:val="0"/>
          <w:marTop w:val="0"/>
          <w:marBottom w:val="0"/>
          <w:divBdr>
            <w:top w:val="none" w:sz="0" w:space="0" w:color="auto"/>
            <w:left w:val="none" w:sz="0" w:space="0" w:color="auto"/>
            <w:bottom w:val="none" w:sz="0" w:space="0" w:color="auto"/>
            <w:right w:val="none" w:sz="0" w:space="0" w:color="auto"/>
          </w:divBdr>
        </w:div>
        <w:div w:id="1714186559">
          <w:marLeft w:val="0"/>
          <w:marRight w:val="0"/>
          <w:marTop w:val="0"/>
          <w:marBottom w:val="0"/>
          <w:divBdr>
            <w:top w:val="none" w:sz="0" w:space="0" w:color="auto"/>
            <w:left w:val="none" w:sz="0" w:space="0" w:color="auto"/>
            <w:bottom w:val="none" w:sz="0" w:space="0" w:color="auto"/>
            <w:right w:val="none" w:sz="0" w:space="0" w:color="auto"/>
          </w:divBdr>
          <w:divsChild>
            <w:div w:id="40765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uso.org/articulo/chiitas-y-sunitas-grietas-y-guerras-en-el-siglo-xxi/" TargetMode="External"/><Relationship Id="rId5" Type="http://schemas.openxmlformats.org/officeDocument/2006/relationships/hyperlink" Target="https://nuso.org/autor/khatchik-derghoukassian/"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3414</Words>
  <Characters>18781</Characters>
  <Application>Microsoft Office Word</Application>
  <DocSecurity>0</DocSecurity>
  <Lines>156</Lines>
  <Paragraphs>44</Paragraphs>
  <ScaleCrop>false</ScaleCrop>
  <Company/>
  <LinksUpToDate>false</LinksUpToDate>
  <CharactersWithSpaces>22151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68</cp:revision>
  <dcterms:created xsi:type="dcterms:W3CDTF">2020-10-06T18:02:00Z</dcterms:created>
  <dcterms:modified xsi:type="dcterms:W3CDTF">2019-10-08T22:10:00Z</dcterms:modified>
</cp:coreProperties>
</file>